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eastAsia" w:ascii="华文仿宋" w:hAnsi="华文仿宋" w:eastAsia="方正仿宋_GBK" w:cs="方正仿宋_GBK"/>
          <w:snapToGrid w:val="0"/>
          <w:sz w:val="32"/>
          <w:szCs w:val="20"/>
          <w:lang w:eastAsia="zh-CN"/>
        </w:rPr>
      </w:pPr>
    </w:p>
    <w:p>
      <w:pPr>
        <w:spacing w:line="590" w:lineRule="exact"/>
        <w:jc w:val="left"/>
        <w:rPr>
          <w:rFonts w:hint="eastAsia" w:ascii="华文仿宋" w:hAnsi="华文仿宋" w:eastAsia="方正仿宋_GBK" w:cs="方正仿宋_GBK"/>
          <w:snapToGrid w:val="0"/>
          <w:sz w:val="32"/>
          <w:szCs w:val="20"/>
          <w:lang w:eastAsia="zh-CN"/>
        </w:rPr>
      </w:pPr>
    </w:p>
    <w:p>
      <w:pPr>
        <w:spacing w:line="590" w:lineRule="exact"/>
        <w:jc w:val="left"/>
        <w:rPr>
          <w:rFonts w:hint="eastAsia" w:ascii="华文仿宋" w:hAnsi="华文仿宋" w:eastAsia="方正仿宋_GBK" w:cs="方正仿宋_GBK"/>
          <w:snapToGrid w:val="0"/>
          <w:sz w:val="32"/>
          <w:szCs w:val="20"/>
          <w:lang w:eastAsia="zh-CN"/>
        </w:rPr>
      </w:pPr>
    </w:p>
    <w:p>
      <w:pPr>
        <w:spacing w:line="590" w:lineRule="exact"/>
        <w:jc w:val="left"/>
        <w:rPr>
          <w:rFonts w:hint="eastAsia" w:ascii="华文仿宋" w:hAnsi="华文仿宋" w:eastAsia="方正仿宋_GBK" w:cs="方正仿宋_GBK"/>
          <w:snapToGrid w:val="0"/>
          <w:sz w:val="32"/>
          <w:szCs w:val="20"/>
          <w:lang w:eastAsia="zh-CN"/>
        </w:rPr>
      </w:pPr>
    </w:p>
    <w:p>
      <w:pPr>
        <w:spacing w:line="590" w:lineRule="exact"/>
        <w:jc w:val="left"/>
        <w:rPr>
          <w:rFonts w:hint="eastAsia" w:ascii="华文仿宋" w:hAnsi="华文仿宋" w:eastAsia="方正仿宋_GBK" w:cs="方正仿宋_GBK"/>
          <w:snapToGrid w:val="0"/>
          <w:sz w:val="32"/>
          <w:szCs w:val="20"/>
          <w:lang w:eastAsia="zh-CN"/>
        </w:rPr>
      </w:pPr>
    </w:p>
    <w:p>
      <w:pPr>
        <w:spacing w:line="590" w:lineRule="exact"/>
        <w:jc w:val="center"/>
        <w:rPr>
          <w:rFonts w:hint="eastAsia" w:ascii="华文仿宋" w:hAnsi="华文仿宋" w:eastAsia="方正仿宋_GBK" w:cs="方正仿宋_GBK"/>
          <w:snapToGrid w:val="0"/>
          <w:sz w:val="32"/>
          <w:szCs w:val="20"/>
          <w:lang w:eastAsia="zh-CN"/>
        </w:rPr>
      </w:pPr>
      <w:r>
        <w:rPr>
          <w:rFonts w:hint="eastAsia" w:ascii="华文仿宋" w:hAnsi="华文仿宋" w:eastAsia="方正仿宋_GBK" w:cs="方正仿宋_GBK"/>
          <w:snapToGrid w:val="0"/>
          <w:sz w:val="32"/>
          <w:szCs w:val="20"/>
          <w:lang w:eastAsia="zh-CN"/>
        </w:rPr>
        <w:t>港管环</w:t>
      </w:r>
      <w:r>
        <w:rPr>
          <w:rFonts w:hint="eastAsia" w:ascii="华文仿宋" w:hAnsi="华文仿宋" w:eastAsia="华文仿宋" w:cs="华文仿宋"/>
          <w:snapToGrid w:val="0"/>
          <w:sz w:val="32"/>
          <w:szCs w:val="20"/>
          <w:lang w:eastAsia="zh-CN"/>
        </w:rPr>
        <w:t>〔2024〕</w:t>
      </w:r>
      <w:r>
        <w:rPr>
          <w:rFonts w:hint="eastAsia" w:ascii="华文仿宋" w:hAnsi="华文仿宋" w:eastAsia="华文仿宋" w:cs="华文仿宋"/>
          <w:snapToGrid w:val="0"/>
          <w:sz w:val="32"/>
          <w:szCs w:val="20"/>
          <w:lang w:val="en-US" w:eastAsia="zh-CN"/>
        </w:rPr>
        <w:t>6</w:t>
      </w:r>
      <w:r>
        <w:rPr>
          <w:rFonts w:hint="eastAsia" w:ascii="华文仿宋" w:hAnsi="华文仿宋" w:eastAsia="方正仿宋_GBK" w:cs="方正仿宋_GBK"/>
          <w:snapToGrid w:val="0"/>
          <w:sz w:val="32"/>
          <w:szCs w:val="20"/>
          <w:lang w:eastAsia="zh-CN"/>
        </w:rPr>
        <w:t>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仿宋" w:hAnsi="华文仿宋" w:eastAsia="方正仿宋_GBK" w:cs="方正仿宋_GBK"/>
          <w:snapToGrid w:val="0"/>
          <w:sz w:val="32"/>
          <w:szCs w:val="20"/>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仿宋" w:hAnsi="华文仿宋" w:eastAsia="方正仿宋_GBK" w:cs="方正仿宋_GBK"/>
          <w:snapToGrid w:val="0"/>
          <w:sz w:val="32"/>
          <w:szCs w:val="20"/>
          <w:lang w:eastAsia="zh-CN"/>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color w:val="auto"/>
          <w:spacing w:val="-20"/>
          <w:sz w:val="44"/>
          <w:szCs w:val="44"/>
        </w:rPr>
        <w:t>关于《江苏嘉恒纺织有限公司年产32.5万吨异形异纤复合弹力变形纤维、4.5亿米超仿真功能性纺织面料、22万吨多功能差异化针织面料生产项目环境影响报告表》的批复</w:t>
      </w:r>
    </w:p>
    <w:p>
      <w:pPr>
        <w:pStyle w:val="4"/>
        <w:keepNext w:val="0"/>
        <w:keepLines w:val="0"/>
        <w:pageBreakBefore w:val="0"/>
        <w:kinsoku/>
        <w:wordWrap/>
        <w:overflowPunct/>
        <w:topLinePunct w:val="0"/>
        <w:autoSpaceDE/>
        <w:autoSpaceDN/>
        <w:bidi w:val="0"/>
        <w:adjustRightInd/>
        <w:snapToGrid/>
        <w:spacing w:line="590" w:lineRule="exact"/>
        <w:jc w:val="both"/>
        <w:textAlignment w:val="auto"/>
        <w:rPr>
          <w:rFonts w:hint="eastAsia" w:ascii="方正小标宋_GBK" w:hAnsi="方正小标宋_GBK" w:eastAsia="方正小标宋_GBK" w:cs="方正小标宋_GBK"/>
          <w:sz w:val="44"/>
          <w:szCs w:val="44"/>
          <w:lang w:eastAsia="zh-CN"/>
        </w:rPr>
      </w:pPr>
    </w:p>
    <w:p>
      <w:pPr>
        <w:pStyle w:val="6"/>
        <w:snapToGrid w:val="0"/>
        <w:spacing w:line="590" w:lineRule="exact"/>
        <w:ind w:left="0" w:leftChars="0" w:firstLine="0" w:firstLineChars="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江苏嘉恒纺织有限公司：</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你公司报送的《江苏嘉恒纺织有限公司年产32.5万吨异形异纤复合弹力变形纤维、4.5亿米超仿真功能性纺织面料、22万吨多功能差异化针织面料生产项目环境影响报告表》（以下简称《报告表》）收悉，经审查，现批复如下：</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一、该项目审批前我</w:t>
      </w:r>
      <w:r>
        <w:rPr>
          <w:rFonts w:hint="eastAsia" w:ascii="华文仿宋" w:hAnsi="华文仿宋" w:eastAsia="CESI仿宋-GB2312" w:cs="CESI仿宋-GB2312"/>
          <w:lang w:val="en-US" w:eastAsia="zh-CN"/>
        </w:rPr>
        <w:t>区</w:t>
      </w:r>
      <w:r>
        <w:rPr>
          <w:rFonts w:hint="eastAsia" w:ascii="华文仿宋" w:hAnsi="华文仿宋" w:eastAsia="CESI仿宋-GB2312" w:cs="CESI仿宋-GB2312"/>
          <w:lang w:eastAsia="zh-CN"/>
        </w:rPr>
        <w:t>已在网站(http://www.rudong. gov.cn/)将项目内容进行了公示，公众未提出反对意见及听证请求。根据江苏如东洋口港经济开发区管理委员会备案（港管审备〔2022〕20号）、环境影响报告表技术评估意见、环评结论与建议，在切实落实各项污染防治措施及环境污染事故风险防范措施、各类污染物稳定达标排放且不突破控制总量的前提下，仅从环保角度分析，你公司年产32.5万吨异形异纤复合弹力变形纤维、4.5亿米超仿真功能性纺织面料、22万吨多功能差异化针织面料生产项目在江苏如东洋口港经济开发区纤维新材料产业园区内建设具备环境可行性。</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二、该项目为新建项目，项目建成投产后，可形成年产32.5万吨异形异纤复合弹力变形纤维、4.5亿米超仿真功能性纺织面料、22万吨多功能差异化针织面料的生产能力。</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三、你公司必须按照《报告表》中对策建议，严格执行建设项目环保“三同时”制度，认真落实《报告表》中提出的各项环境污染治理措施及环境管理要求，充分采纳技术评估（函审）意见，切实做好以下污染防治工作：</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1、严格落实各项水污染防治措施。实行“雨污分流”。该项目施工期产生的废水主要为施工废水和生活污水。你公司须对施工单位进行有效监督，对施工废水、生活污水进行有效收集处理，严禁直排外环境。该项目运营期产生的废水主要为生活污水、喷水织机废水、废气喷淋废水、车间及设备清洗废水、循环冷却水系统排水、初期雨水、再生废水、蒸汽冷凝水。厂区设污水处理站，喷水织机废水、蒸汽冷凝水、循环冷却水系统排水、车间及设备清洗废水、废气喷淋废水、初期雨水经厂区污水处理站处理达到喷水织机回用水要求后，90%回用于喷水织机用水，剩余10%进一步经厂区污水处理站处理达到《化学工业水污染物排放标准》（DB32/939-2020）表2标准（其中LAS、动植物油执行《城镇污水处理厂污染物排放标准》（GB18918-2002）表1一级A标准，总锑参照《纺织染整工业废水中锑污染物排放标准》(DB32/3432-2018)中表1 纺织染整企业废水中总锑排放限值一般地区间接排放限值要求），与经厂区污水处理站预处理达标的再生废水一并排至苏环洋口港（南通）水务有限公司排海池，依托苏环洋口港（南通）水务有限公司排海管道排海。蒸汽冷凝水全部回用于喷水织机用水，不外排。</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2、严格落实各项大气污染防治措施。该项目施工期废气主要来源于施工车辆排放的尾气、施工扬尘等。你公司须加强施工过程管理，采取合理可行的措施，减轻施工期间无组织排放废气及扬尘污染。</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该项目运营期储罐呼吸废气产生量很少，通过自然通风无组织排放，建议油储罐接口附近填充填料（如橡胶条等）强化密封效果，进一步减少油剂挥发；加弹废气经加热箱排风管引风集气后，经“旋流板塔+高压静电除油”装置处理，其中每8台加弹机有机废气汇入1套“旋流板塔+高压静电除油”装置，每2套“旋流板塔+高压静电除油”装置处理后的废气合并进入一根20米高排气筒排放，共11根排气筒（1#~11#）；整浆并废气经集气罩收集，经 “旋流板塔+高压静电除油”装置处理后，经20米高12#排气筒排放；污水站废气密闭集气收集，经生物过滤除臭装置处理后经20米高排气筒13#排放；危废仓库废气整体集气后，经“洗涤塔+除湿+活性炭吸附”装置处理后经20米高排气筒14#排放；食堂油烟废气经油烟净化装置处理后经20米高排气筒15#排放。你公司须加强全过程管理，在确保安全的前提下采取有效措施尽量减少废气的无组织排放。</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项目施工期场地扬尘执行</w:t>
      </w:r>
      <w:bookmarkStart w:id="0" w:name="_Hlk138582406"/>
      <w:r>
        <w:rPr>
          <w:rFonts w:hint="eastAsia" w:ascii="华文仿宋" w:hAnsi="华文仿宋" w:eastAsia="CESI仿宋-GB2312" w:cs="CESI仿宋-GB2312"/>
          <w:lang w:eastAsia="zh-CN"/>
        </w:rPr>
        <w:t>《施工场地扬尘排放标准》（DB32/4437-2022）</w:t>
      </w:r>
      <w:bookmarkEnd w:id="0"/>
      <w:r>
        <w:rPr>
          <w:rFonts w:hint="eastAsia" w:ascii="华文仿宋" w:hAnsi="华文仿宋" w:eastAsia="CESI仿宋-GB2312" w:cs="CESI仿宋-GB2312"/>
          <w:lang w:eastAsia="zh-CN"/>
        </w:rPr>
        <w:t>表1中施工场地扬尘排放限值。运营期加弹、整浆并及危废仓库产生的非甲烷总烃有组织排放执行《大气污染物综合排放标准》（DB32/4041-2021）表1限值；整浆并、污水站、危废仓库产生的氨、硫化氢、臭气浓度有组织排放执行《恶臭污染物排放标准》（GB14554-93）表2限值；食堂油烟废气执行《饮食业油烟排放标准》（GB18483-2001）表2限值。</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厂界无组织排放的非甲烷总烃执行《大气污染物综合排放标准》（DB32/4041-2021）表3标准限值，氨、硫化氢、臭气浓度的厂界无组织排放执行《恶臭污染物排放标准》(GB14554-93)表1限值。厂区内非甲烷总烃执行江苏省《大气污染物综合排放标准》（DB32/4041-2021）表2标准。</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3、落实噪声污染防治措施。该项目施工期须合理安排施工时间，施工阶段的建筑施工场界噪声须符合《建筑施工场界环境噪声排放标准》（GB12523-2011）中相关标准。你公司须合理安排厂区总体平面布局，优选低噪声设备，高噪声源设备应尽量远离居民，并采取屏障隔声、降噪减振等有效措施，确保该项目运营期厂界噪声达到《工业企业厂界环境噪声排放标准》（GB12348-2008）表1中的3类标准，且不得降低周围环境敏感点声环境质量。</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4、严格固体废物管理。按“减量化、资源化、无害化”处置原则，落实项目施工期和运营期产生的各类固体废物，尤其是危险废物的收集、处置和综合利用措施，建设专门危废堆放场所。按要求对一般固废进行回收利用或综合治理，危险废物委托有资质单位处置，生活垃圾由环卫部门统一清运。固体废物在厂内的堆放、贮存、转移应符合《一般工业固体废物贮存和填埋污染控制标准》（GB18599-2020）、《危险废物贮存污染控制标准》（GB18597-2023）和相关管理要求，防止产生二次污染。</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5、做好土壤和地下水污染防治工作。按照《报告表》要求，不同分区采取不同等级的防渗措施，并确保其可靠性和有效性，切实防止对土壤和地下水产生影响。</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6、按照《江苏省排污口设置及规范化整治管理办法》要求，规范设置排污口、采样口（废气管道应设置永久采样孔）。按《报告表》提出的环境管理与监测计划实施日常环境管理与监测，监测结果及相关资料备查。</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7、加强环境风险管理。你公司须认真落实《报告表》中提出的各项事故应急防范措施，严格按照环境风险管理的有关规定制定环境事件应急预案，设置事故应急池，配备相应装备并定期进行演练，防止因事故发生污染环境事件。对重点环保设施开展安全风险评估论证，健全内部环境治理设施稳定运行和管理责任制度。</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四、污染物排放总量：</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本项目建成后全厂污染物年排放总量核定如下：</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废水污染物（外排量）：废水量623274t/a、化学需氧量31.1637t/a、氨氮3.1164t/a、总氮9.3491t/a、总磷0.3116t/a、总锑0.0623t/a ；</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废气污染物：有组织废气：非甲烷总烃9.6222t/a；无组织废气：非甲烷总烃7.2348t/a。</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固废排放量为0。其他污染物不得超出《报告表》中预测的排放量。</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五、你公司须严格落实生态环境保护主体责任，对《报告表》的内容和结论负责。应对废水、废气处理、固（危）废贮存等环境治理设施开展安全风险辨识管理，健全内部污染防治设施稳定运行和管理责任制度，严格依据标准规范建设环境治理设施，确保环境治理设施安全、稳定、有效运行。同时，接受委托编制该项目环境影响报告表的技术单位对其编制的环境影响报告表承担相应责任。</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六、涉及其他法律及法规规定需要办理的其他相关手续应按规定办理。该项目建成后，你公司应按照国务院环境保护行政主管部门规定的标准和程序, 对配套建设的环境保护设施进行验收。本批复与该项目的环境影响评价文件一并作为项目环境管理及验收依据。项目的事中、事后环境现场的监督管理由南通市如东生态环境局负责组织实施。</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 xml:space="preserve">七、你公司必须严格按照环评批准的规模、工艺等组织实施，项目的性质、规模、地点、采用的工艺或污染防治措施发生重大变化的，应当重新报批项目的环境影响评价文件。建设项目的环境影响评价文件自批准之日起超过五年，方决定项目开工建设的，其环境影响评价文件应当报原审批部门重新审核。 </w:t>
      </w:r>
    </w:p>
    <w:p>
      <w:pPr>
        <w:pStyle w:val="6"/>
        <w:snapToGrid w:val="0"/>
        <w:spacing w:line="590" w:lineRule="exact"/>
        <w:ind w:left="0" w:firstLine="640" w:firstLineChars="200"/>
        <w:jc w:val="left"/>
        <w:rPr>
          <w:rFonts w:hint="eastAsia" w:ascii="华文仿宋" w:hAnsi="华文仿宋" w:eastAsia="CESI仿宋-GB2312" w:cs="CESI仿宋-GB2312"/>
          <w:lang w:eastAsia="zh-CN"/>
        </w:rPr>
      </w:pPr>
    </w:p>
    <w:p>
      <w:pPr>
        <w:pStyle w:val="6"/>
        <w:snapToGrid w:val="0"/>
        <w:spacing w:line="590" w:lineRule="exact"/>
        <w:ind w:left="0" w:firstLine="640" w:firstLineChars="200"/>
        <w:jc w:val="right"/>
        <w:rPr>
          <w:rFonts w:hint="eastAsia" w:ascii="华文仿宋" w:hAnsi="华文仿宋" w:eastAsia="CESI仿宋-GB2312" w:cs="CESI仿宋-GB2312"/>
          <w:lang w:eastAsia="zh-CN"/>
        </w:rPr>
      </w:pPr>
    </w:p>
    <w:p>
      <w:pPr>
        <w:pStyle w:val="6"/>
        <w:snapToGrid w:val="0"/>
        <w:spacing w:line="590" w:lineRule="exact"/>
        <w:ind w:left="0" w:firstLine="640" w:firstLineChars="200"/>
        <w:jc w:val="right"/>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江苏如东洋口港经济开发区管理委员会</w:t>
      </w:r>
    </w:p>
    <w:p>
      <w:pPr>
        <w:pStyle w:val="6"/>
        <w:snapToGrid w:val="0"/>
        <w:spacing w:line="590" w:lineRule="exact"/>
        <w:ind w:firstLine="5120" w:firstLineChars="1600"/>
        <w:jc w:val="both"/>
        <w:rPr>
          <w:rFonts w:hint="eastAsia" w:ascii="华文仿宋" w:hAnsi="华文仿宋" w:eastAsia="CESI仿宋-GB2312" w:cs="CESI仿宋-GB2312"/>
          <w:lang w:eastAsia="zh-CN"/>
        </w:rPr>
      </w:pPr>
      <w:r>
        <w:rPr>
          <w:rFonts w:hint="eastAsia" w:ascii="华文仿宋" w:hAnsi="华文仿宋" w:eastAsia="CESI仿宋-GB2312" w:cs="CESI仿宋-GB2312"/>
          <w:lang w:eastAsia="zh-CN"/>
        </w:rPr>
        <w:t>2024年</w:t>
      </w:r>
      <w:r>
        <w:rPr>
          <w:rFonts w:hint="eastAsia" w:ascii="华文仿宋" w:hAnsi="华文仿宋" w:eastAsia="CESI仿宋-GB2312" w:cs="CESI仿宋-GB2312"/>
          <w:lang w:val="en-US" w:eastAsia="zh-CN"/>
        </w:rPr>
        <w:t>6</w:t>
      </w:r>
      <w:r>
        <w:rPr>
          <w:rFonts w:hint="eastAsia" w:ascii="华文仿宋" w:hAnsi="华文仿宋" w:eastAsia="CESI仿宋-GB2312" w:cs="CESI仿宋-GB2312"/>
          <w:lang w:eastAsia="zh-CN"/>
        </w:rPr>
        <w:t>月</w:t>
      </w:r>
      <w:r>
        <w:rPr>
          <w:rFonts w:hint="eastAsia" w:ascii="华文仿宋" w:hAnsi="华文仿宋" w:eastAsia="CESI仿宋-GB2312" w:cs="CESI仿宋-GB2312"/>
          <w:lang w:val="en-US" w:eastAsia="zh-CN"/>
        </w:rPr>
        <w:t>13</w:t>
      </w:r>
      <w:r>
        <w:rPr>
          <w:rFonts w:hint="eastAsia" w:ascii="华文仿宋" w:hAnsi="华文仿宋" w:eastAsia="CESI仿宋-GB2312" w:cs="CESI仿宋-GB2312"/>
          <w:lang w:eastAsia="zh-CN"/>
        </w:rPr>
        <w:t>日</w:t>
      </w:r>
    </w:p>
    <w:p>
      <w:pPr>
        <w:pStyle w:val="6"/>
        <w:snapToGrid w:val="0"/>
        <w:spacing w:before="26" w:line="590" w:lineRule="exact"/>
        <w:ind w:left="0" w:firstLine="640" w:firstLineChars="200"/>
        <w:jc w:val="right"/>
        <w:rPr>
          <w:rFonts w:ascii="华文仿宋" w:hAnsi="华文仿宋" w:cs="Times New Roman"/>
          <w:lang w:eastAsia="zh-CN"/>
        </w:rPr>
      </w:pPr>
      <w:bookmarkStart w:id="1" w:name="_GoBack"/>
      <w:bookmarkEnd w:id="1"/>
    </w:p>
    <w:p>
      <w:pPr>
        <w:pStyle w:val="6"/>
        <w:snapToGrid w:val="0"/>
        <w:spacing w:before="26" w:line="590" w:lineRule="exact"/>
        <w:ind w:left="0"/>
        <w:jc w:val="both"/>
        <w:rPr>
          <w:rFonts w:ascii="华文仿宋" w:hAnsi="华文仿宋" w:eastAsia="华文仿宋" w:cs="Times New Roman"/>
          <w:lang w:eastAsia="zh-CN"/>
        </w:rPr>
      </w:pPr>
    </w:p>
    <w:sectPr>
      <w:footerReference r:id="rId3" w:type="default"/>
      <w:footerReference r:id="rId4" w:type="even"/>
      <w:pgSz w:w="11907" w:h="16840"/>
      <w:pgMar w:top="1797" w:right="1440" w:bottom="1797" w:left="1440" w:header="0" w:footer="1633" w:gutter="0"/>
      <w:pgNumType w:fmt="numberInDash"/>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OpenSymbol"/>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Open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汉鼎简大宋">
    <w:altName w:val="方正书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9516110</wp:posOffset>
              </wp:positionV>
              <wp:extent cx="471805" cy="203835"/>
              <wp:effectExtent l="0" t="635" r="4445" b="0"/>
              <wp:wrapNone/>
              <wp:docPr id="3" name="Text Box 2"/>
              <wp:cNvGraphicFramePr/>
              <a:graphic xmlns:a="http://schemas.openxmlformats.org/drawingml/2006/main">
                <a:graphicData uri="http://schemas.microsoft.com/office/word/2010/wordprocessingShape">
                  <wps:wsp>
                    <wps:cNvSpPr txBox="1">
                      <a:spLocks noChangeArrowheads="1"/>
                    </wps:cNvSpPr>
                    <wps:spPr>
                      <a:xfrm>
                        <a:off x="0" y="0"/>
                        <a:ext cx="471805" cy="203835"/>
                      </a:xfrm>
                      <a:prstGeom prst="rect">
                        <a:avLst/>
                      </a:prstGeom>
                      <a:ln w="12700">
                        <a:noFill/>
                      </a:ln>
                    </wps:spPr>
                    <wps:txbx>
                      <w:txbxContent>
                        <w:p>
                          <w:pPr>
                            <w:rPr>
                              <w:sz w:val="28"/>
                              <w:szCs w:val="28"/>
                            </w:rPr>
                          </w:pPr>
                        </w:p>
                      </w:txbxContent>
                    </wps:txbx>
                    <wps:bodyPr rot="0" vert="horz" wrap="square" lIns="0" tIns="0" rIns="0" bIns="0" anchor="t" anchorCtr="0">
                      <a:noAutofit/>
                    </wps:bodyPr>
                  </wps:wsp>
                </a:graphicData>
              </a:graphic>
            </wp:anchor>
          </w:drawing>
        </mc:Choice>
        <mc:Fallback>
          <w:pict>
            <v:shape id="Text Box 2" o:spid="_x0000_s1026" o:spt="202" type="#_x0000_t202" style="position:absolute;left:0pt;margin-top:749.3pt;height:16.05pt;width:37.15pt;mso-position-horizontal:outside;mso-position-horizontal-relative:margin;mso-position-vertical-relative:page;z-index:251659264;mso-width-relative:page;mso-height-relative:page;" filled="f" stroked="f" coordsize="21600,21600" o:gfxdata="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Lj640vZAAAACQEAAA8AAAAAAAAAAQAgAAAAOAAA&#10;AGRycy9kb3ducmV2LnhtbFBLAQIUABQAAAAIAIdO4kB2cS7C8QEAAOgDAAAOAAAAAAAAAAEAIAAA&#10;AD4BAABkcnMvZTJvRG9jLnhtbFBLBQYAAAAABgAGAFkBAAChBQAAAAA=&#10;">
              <v:fill on="f" focussize="0,0"/>
              <v:stroke on="f" weight="1pt"/>
              <v:imagedata o:title=""/>
              <o:lock v:ext="edit" aspectratio="f"/>
              <v:textbox inset="0mm,0mm,0mm,0mm">
                <w:txbxContent>
                  <w:p>
                    <w:pPr>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79400" cy="387350"/>
              <wp:effectExtent l="0" t="0" r="0" b="0"/>
              <wp:wrapNone/>
              <wp:docPr id="4" name="Text Box 3"/>
              <wp:cNvGraphicFramePr/>
              <a:graphic xmlns:a="http://schemas.openxmlformats.org/drawingml/2006/main">
                <a:graphicData uri="http://schemas.microsoft.com/office/word/2010/wordprocessingShape">
                  <wps:wsp>
                    <wps:cNvSpPr txBox="1">
                      <a:spLocks noChangeArrowheads="1"/>
                    </wps:cNvSpPr>
                    <wps:spPr>
                      <a:xfrm>
                        <a:off x="0" y="0"/>
                        <a:ext cx="279400" cy="387350"/>
                      </a:xfrm>
                      <a:prstGeom prst="rect">
                        <a:avLst/>
                      </a:prstGeom>
                      <a:ln w="12700">
                        <a:noFill/>
                      </a:ln>
                    </wps:spPr>
                    <wps:txbx>
                      <w:txbxContent>
                        <w:sdt>
                          <w:sdtPr>
                            <w:id w:val="9186572"/>
                          </w:sdtPr>
                          <w:sdtContent>
                            <w:p>
                              <w:pPr>
                                <w:pStyle w:val="9"/>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6 -</w:t>
                              </w:r>
                              <w:r>
                                <w:rPr>
                                  <w:sz w:val="28"/>
                                  <w:szCs w:val="28"/>
                                  <w:lang w:val="zh-CN"/>
                                </w:rPr>
                                <w:fldChar w:fldCharType="end"/>
                              </w:r>
                            </w:p>
                          </w:sdtContent>
                        </w:sdt>
                        <w:p/>
                      </w:txbxContent>
                    </wps:txbx>
                    <wps:bodyPr rot="0" vert="horz" wrap="none" lIns="0" tIns="0" rIns="0" bIns="0" anchor="t" anchorCtr="0">
                      <a:spAutoFit/>
                    </wps:bodyPr>
                  </wps:wsp>
                </a:graphicData>
              </a:graphic>
            </wp:anchor>
          </w:drawing>
        </mc:Choice>
        <mc:Fallback>
          <w:pict>
            <v:shape id="Text Box 3" o:spid="_x0000_s1026" o:spt="202" type="#_x0000_t202" style="position:absolute;left:0pt;margin-top:0pt;height:30.5pt;width:22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77Lrs9UAAAADAQAADwAAAAAAAAABACAAAAA4AAAAZHJzL2Rv&#10;d25yZXYueG1sUEsBAhQAFAAAAAgAh07iQBqv1dTuAQAA5gMAAA4AAAAAAAAAAQAgAAAAOgEAAGRy&#10;cy9lMm9Eb2MueG1sUEsFBgAAAAAGAAYAWQEAAJoFAAAAAA==&#10;">
              <v:fill on="f" focussize="0,0"/>
              <v:stroke on="f" weight="1pt"/>
              <v:imagedata o:title=""/>
              <o:lock v:ext="edit" aspectratio="f"/>
              <v:textbox inset="0mm,0mm,0mm,0mm" style="mso-fit-shape-to-text:t;">
                <w:txbxContent>
                  <w:sdt>
                    <w:sdtPr>
                      <w:id w:val="9186572"/>
                    </w:sdtPr>
                    <w:sdtContent>
                      <w:p>
                        <w:pPr>
                          <w:pStyle w:val="9"/>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6 -</w:t>
                        </w:r>
                        <w:r>
                          <w:rPr>
                            <w:sz w:val="28"/>
                            <w:szCs w:val="28"/>
                            <w:lang w:val="zh-CN"/>
                          </w:rPr>
                          <w:fldChar w:fldCharType="end"/>
                        </w:r>
                      </w:p>
                    </w:sdtContent>
                  </w:sdt>
                  <w:p/>
                </w:txbxContent>
              </v:textbox>
            </v:shape>
          </w:pict>
        </mc:Fallback>
      </mc:AlternateContent>
    </w:r>
  </w:p>
  <w:p>
    <w:pPr>
      <w:spacing w:line="200" w:lineRule="exact"/>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xZDQ1YmU2MWY5NzUxZGNmMDI3Y2IzY2YxNjVlNDIifQ=="/>
  </w:docVars>
  <w:rsids>
    <w:rsidRoot w:val="00710B79"/>
    <w:rsid w:val="000079CD"/>
    <w:rsid w:val="0001473D"/>
    <w:rsid w:val="000201A0"/>
    <w:rsid w:val="00046D63"/>
    <w:rsid w:val="000575CD"/>
    <w:rsid w:val="00063732"/>
    <w:rsid w:val="0006452A"/>
    <w:rsid w:val="000817F4"/>
    <w:rsid w:val="00084D5F"/>
    <w:rsid w:val="0009606E"/>
    <w:rsid w:val="000E3811"/>
    <w:rsid w:val="000E679B"/>
    <w:rsid w:val="000F4AF4"/>
    <w:rsid w:val="00122397"/>
    <w:rsid w:val="001268B1"/>
    <w:rsid w:val="001268CC"/>
    <w:rsid w:val="0013190C"/>
    <w:rsid w:val="00142FC2"/>
    <w:rsid w:val="001B6975"/>
    <w:rsid w:val="001C073B"/>
    <w:rsid w:val="001E2CC5"/>
    <w:rsid w:val="001F6A08"/>
    <w:rsid w:val="0020447E"/>
    <w:rsid w:val="00207C9B"/>
    <w:rsid w:val="0021641A"/>
    <w:rsid w:val="00216CA3"/>
    <w:rsid w:val="0025013E"/>
    <w:rsid w:val="002A4978"/>
    <w:rsid w:val="002B2F2D"/>
    <w:rsid w:val="002F50DE"/>
    <w:rsid w:val="00325F8D"/>
    <w:rsid w:val="003459C3"/>
    <w:rsid w:val="003500A8"/>
    <w:rsid w:val="00351697"/>
    <w:rsid w:val="00393C92"/>
    <w:rsid w:val="00396826"/>
    <w:rsid w:val="003B3F55"/>
    <w:rsid w:val="003D682A"/>
    <w:rsid w:val="003D7B9F"/>
    <w:rsid w:val="003F3C75"/>
    <w:rsid w:val="0046357E"/>
    <w:rsid w:val="0046507C"/>
    <w:rsid w:val="004963D7"/>
    <w:rsid w:val="004C0D61"/>
    <w:rsid w:val="005423F7"/>
    <w:rsid w:val="00543430"/>
    <w:rsid w:val="00544C7D"/>
    <w:rsid w:val="00562CC8"/>
    <w:rsid w:val="005631C2"/>
    <w:rsid w:val="00566664"/>
    <w:rsid w:val="005673D3"/>
    <w:rsid w:val="00574C3D"/>
    <w:rsid w:val="0059385D"/>
    <w:rsid w:val="0059534E"/>
    <w:rsid w:val="005B6366"/>
    <w:rsid w:val="005C6666"/>
    <w:rsid w:val="005E0870"/>
    <w:rsid w:val="005F7FEA"/>
    <w:rsid w:val="00601FF8"/>
    <w:rsid w:val="006104BE"/>
    <w:rsid w:val="00620A7B"/>
    <w:rsid w:val="00622CB8"/>
    <w:rsid w:val="00624896"/>
    <w:rsid w:val="00644CB6"/>
    <w:rsid w:val="00647585"/>
    <w:rsid w:val="00671384"/>
    <w:rsid w:val="00677E53"/>
    <w:rsid w:val="00684A14"/>
    <w:rsid w:val="006928D3"/>
    <w:rsid w:val="006F34AE"/>
    <w:rsid w:val="00705458"/>
    <w:rsid w:val="00710B79"/>
    <w:rsid w:val="00711362"/>
    <w:rsid w:val="00715673"/>
    <w:rsid w:val="007334FA"/>
    <w:rsid w:val="00736333"/>
    <w:rsid w:val="00743503"/>
    <w:rsid w:val="00746F8F"/>
    <w:rsid w:val="007535A0"/>
    <w:rsid w:val="00791DDF"/>
    <w:rsid w:val="00794BDD"/>
    <w:rsid w:val="007B21D3"/>
    <w:rsid w:val="007C1DF6"/>
    <w:rsid w:val="007C28D5"/>
    <w:rsid w:val="007D4615"/>
    <w:rsid w:val="00803F54"/>
    <w:rsid w:val="0081483B"/>
    <w:rsid w:val="00832F1B"/>
    <w:rsid w:val="00847199"/>
    <w:rsid w:val="0085220C"/>
    <w:rsid w:val="00863684"/>
    <w:rsid w:val="00896EF9"/>
    <w:rsid w:val="008B5DF2"/>
    <w:rsid w:val="008F2734"/>
    <w:rsid w:val="00910E20"/>
    <w:rsid w:val="00912B87"/>
    <w:rsid w:val="00922A28"/>
    <w:rsid w:val="00934B00"/>
    <w:rsid w:val="00956A9F"/>
    <w:rsid w:val="00976BAB"/>
    <w:rsid w:val="00990864"/>
    <w:rsid w:val="009A2B05"/>
    <w:rsid w:val="009B392D"/>
    <w:rsid w:val="009B53DD"/>
    <w:rsid w:val="009D0312"/>
    <w:rsid w:val="009D2404"/>
    <w:rsid w:val="009E16F6"/>
    <w:rsid w:val="009E52BC"/>
    <w:rsid w:val="00A1202E"/>
    <w:rsid w:val="00A264E6"/>
    <w:rsid w:val="00A33AC6"/>
    <w:rsid w:val="00A34732"/>
    <w:rsid w:val="00A455AD"/>
    <w:rsid w:val="00A56445"/>
    <w:rsid w:val="00A60D53"/>
    <w:rsid w:val="00A640CB"/>
    <w:rsid w:val="00A71113"/>
    <w:rsid w:val="00A771E3"/>
    <w:rsid w:val="00A80586"/>
    <w:rsid w:val="00AC4460"/>
    <w:rsid w:val="00AD55E0"/>
    <w:rsid w:val="00AE6954"/>
    <w:rsid w:val="00B00627"/>
    <w:rsid w:val="00B040CC"/>
    <w:rsid w:val="00B21971"/>
    <w:rsid w:val="00B361B2"/>
    <w:rsid w:val="00B371D2"/>
    <w:rsid w:val="00B410AC"/>
    <w:rsid w:val="00B67C06"/>
    <w:rsid w:val="00BC1993"/>
    <w:rsid w:val="00BC3E8E"/>
    <w:rsid w:val="00BD678E"/>
    <w:rsid w:val="00BE11CA"/>
    <w:rsid w:val="00BE16AF"/>
    <w:rsid w:val="00BE3F39"/>
    <w:rsid w:val="00BF354F"/>
    <w:rsid w:val="00C15DC7"/>
    <w:rsid w:val="00C321A1"/>
    <w:rsid w:val="00C72ABD"/>
    <w:rsid w:val="00C93399"/>
    <w:rsid w:val="00C975FC"/>
    <w:rsid w:val="00CA3EF9"/>
    <w:rsid w:val="00CD0712"/>
    <w:rsid w:val="00CD4C3C"/>
    <w:rsid w:val="00D17776"/>
    <w:rsid w:val="00D2259A"/>
    <w:rsid w:val="00D37207"/>
    <w:rsid w:val="00D410BA"/>
    <w:rsid w:val="00D64546"/>
    <w:rsid w:val="00D7345E"/>
    <w:rsid w:val="00D74FA9"/>
    <w:rsid w:val="00D82BD0"/>
    <w:rsid w:val="00D84FB6"/>
    <w:rsid w:val="00DB5100"/>
    <w:rsid w:val="00E30A76"/>
    <w:rsid w:val="00E43929"/>
    <w:rsid w:val="00E519F0"/>
    <w:rsid w:val="00E77258"/>
    <w:rsid w:val="00E91043"/>
    <w:rsid w:val="00EB1380"/>
    <w:rsid w:val="00EC378E"/>
    <w:rsid w:val="00EC4A17"/>
    <w:rsid w:val="00EC61B1"/>
    <w:rsid w:val="00ED2809"/>
    <w:rsid w:val="00ED6254"/>
    <w:rsid w:val="00EE5F5A"/>
    <w:rsid w:val="00F011FB"/>
    <w:rsid w:val="00F74871"/>
    <w:rsid w:val="00F7668D"/>
    <w:rsid w:val="00F80832"/>
    <w:rsid w:val="00FA06D9"/>
    <w:rsid w:val="00FB6287"/>
    <w:rsid w:val="00FD0018"/>
    <w:rsid w:val="00FF082E"/>
    <w:rsid w:val="01153F2A"/>
    <w:rsid w:val="01EE5E0E"/>
    <w:rsid w:val="037D080D"/>
    <w:rsid w:val="04712638"/>
    <w:rsid w:val="04877EA0"/>
    <w:rsid w:val="04C156DA"/>
    <w:rsid w:val="04D31CA9"/>
    <w:rsid w:val="04F3384F"/>
    <w:rsid w:val="059F64D1"/>
    <w:rsid w:val="05C57DD3"/>
    <w:rsid w:val="072C25E9"/>
    <w:rsid w:val="07CA0312"/>
    <w:rsid w:val="082D5FBA"/>
    <w:rsid w:val="093D5FA1"/>
    <w:rsid w:val="098C0978"/>
    <w:rsid w:val="09A90BBB"/>
    <w:rsid w:val="0A631C37"/>
    <w:rsid w:val="0AE92554"/>
    <w:rsid w:val="0B3C3FBD"/>
    <w:rsid w:val="0C432A84"/>
    <w:rsid w:val="0CC13ED5"/>
    <w:rsid w:val="0CD01AD5"/>
    <w:rsid w:val="0CEF5278"/>
    <w:rsid w:val="0D147B38"/>
    <w:rsid w:val="0D1E0EA5"/>
    <w:rsid w:val="0D590A16"/>
    <w:rsid w:val="0F511ED7"/>
    <w:rsid w:val="0F5F340D"/>
    <w:rsid w:val="0F69384C"/>
    <w:rsid w:val="10782BF6"/>
    <w:rsid w:val="117E5F6C"/>
    <w:rsid w:val="11980D57"/>
    <w:rsid w:val="12023961"/>
    <w:rsid w:val="12154ADB"/>
    <w:rsid w:val="12B148BB"/>
    <w:rsid w:val="12FD2E02"/>
    <w:rsid w:val="14270A30"/>
    <w:rsid w:val="15187CB6"/>
    <w:rsid w:val="15245990"/>
    <w:rsid w:val="162539F3"/>
    <w:rsid w:val="167B4D8E"/>
    <w:rsid w:val="16D95AF5"/>
    <w:rsid w:val="172302DB"/>
    <w:rsid w:val="18DF3DF0"/>
    <w:rsid w:val="19EB4BD8"/>
    <w:rsid w:val="1A3A63AB"/>
    <w:rsid w:val="1A4B3E0F"/>
    <w:rsid w:val="1B555E02"/>
    <w:rsid w:val="1BB33808"/>
    <w:rsid w:val="1BC71932"/>
    <w:rsid w:val="1BD11F45"/>
    <w:rsid w:val="1C0C21BD"/>
    <w:rsid w:val="1C167AAF"/>
    <w:rsid w:val="1C7D3C0B"/>
    <w:rsid w:val="1CEE3DA2"/>
    <w:rsid w:val="1CF30671"/>
    <w:rsid w:val="1D185E47"/>
    <w:rsid w:val="1D4C0209"/>
    <w:rsid w:val="1ECA6233"/>
    <w:rsid w:val="1FF13E1C"/>
    <w:rsid w:val="201E44AA"/>
    <w:rsid w:val="202F6CDA"/>
    <w:rsid w:val="20477AA7"/>
    <w:rsid w:val="20BA135B"/>
    <w:rsid w:val="229578E3"/>
    <w:rsid w:val="22A06AEB"/>
    <w:rsid w:val="237570E5"/>
    <w:rsid w:val="25360036"/>
    <w:rsid w:val="25D72518"/>
    <w:rsid w:val="25E36D58"/>
    <w:rsid w:val="26522309"/>
    <w:rsid w:val="272375EB"/>
    <w:rsid w:val="272520C7"/>
    <w:rsid w:val="273476C5"/>
    <w:rsid w:val="27BE293B"/>
    <w:rsid w:val="28205A78"/>
    <w:rsid w:val="28D04EB3"/>
    <w:rsid w:val="2980458B"/>
    <w:rsid w:val="29B652D2"/>
    <w:rsid w:val="29DA7AD1"/>
    <w:rsid w:val="2AD02A1D"/>
    <w:rsid w:val="2B800564"/>
    <w:rsid w:val="2C741404"/>
    <w:rsid w:val="2D506B57"/>
    <w:rsid w:val="2D7036F2"/>
    <w:rsid w:val="2DB17F34"/>
    <w:rsid w:val="2E256ACB"/>
    <w:rsid w:val="2E5B59B9"/>
    <w:rsid w:val="30266936"/>
    <w:rsid w:val="31B77767"/>
    <w:rsid w:val="31F847B1"/>
    <w:rsid w:val="323C0020"/>
    <w:rsid w:val="328C4D95"/>
    <w:rsid w:val="32FC5330"/>
    <w:rsid w:val="335323CD"/>
    <w:rsid w:val="337E4BB2"/>
    <w:rsid w:val="33C673B5"/>
    <w:rsid w:val="33C77A52"/>
    <w:rsid w:val="3439694B"/>
    <w:rsid w:val="3469465A"/>
    <w:rsid w:val="3495275C"/>
    <w:rsid w:val="34B46AB1"/>
    <w:rsid w:val="34FF1C6C"/>
    <w:rsid w:val="35053272"/>
    <w:rsid w:val="370716B7"/>
    <w:rsid w:val="37180CA8"/>
    <w:rsid w:val="378E052A"/>
    <w:rsid w:val="383E04F4"/>
    <w:rsid w:val="383E7400"/>
    <w:rsid w:val="38ED62E2"/>
    <w:rsid w:val="39C5530A"/>
    <w:rsid w:val="39D93BC9"/>
    <w:rsid w:val="3A1E65D5"/>
    <w:rsid w:val="3A497849"/>
    <w:rsid w:val="3A64697B"/>
    <w:rsid w:val="3B5C6DF4"/>
    <w:rsid w:val="3BBB57AF"/>
    <w:rsid w:val="3D402F35"/>
    <w:rsid w:val="3D44777E"/>
    <w:rsid w:val="3DC332A9"/>
    <w:rsid w:val="3EA0112F"/>
    <w:rsid w:val="3F0E71AE"/>
    <w:rsid w:val="3F1F75E1"/>
    <w:rsid w:val="3F2506A4"/>
    <w:rsid w:val="3FA73CB8"/>
    <w:rsid w:val="40934DBD"/>
    <w:rsid w:val="40ED5AB7"/>
    <w:rsid w:val="40F22903"/>
    <w:rsid w:val="40F807F7"/>
    <w:rsid w:val="41252E7D"/>
    <w:rsid w:val="41642DF7"/>
    <w:rsid w:val="41CC057A"/>
    <w:rsid w:val="41F65364"/>
    <w:rsid w:val="429C7F3D"/>
    <w:rsid w:val="42A578B5"/>
    <w:rsid w:val="42AB2546"/>
    <w:rsid w:val="42E87805"/>
    <w:rsid w:val="430311A1"/>
    <w:rsid w:val="431C7691"/>
    <w:rsid w:val="432C2862"/>
    <w:rsid w:val="45253485"/>
    <w:rsid w:val="4535126F"/>
    <w:rsid w:val="45E92A7F"/>
    <w:rsid w:val="460358DD"/>
    <w:rsid w:val="4651576A"/>
    <w:rsid w:val="46736C92"/>
    <w:rsid w:val="470B248F"/>
    <w:rsid w:val="47106909"/>
    <w:rsid w:val="493A441B"/>
    <w:rsid w:val="49416351"/>
    <w:rsid w:val="4A685826"/>
    <w:rsid w:val="4AA1457E"/>
    <w:rsid w:val="4B813DE1"/>
    <w:rsid w:val="4B9D5C47"/>
    <w:rsid w:val="4C952DAD"/>
    <w:rsid w:val="4D1653C1"/>
    <w:rsid w:val="4D1C1958"/>
    <w:rsid w:val="4DAD4CD9"/>
    <w:rsid w:val="4E494886"/>
    <w:rsid w:val="4E6A3BE2"/>
    <w:rsid w:val="4EC02EA0"/>
    <w:rsid w:val="4EE522B5"/>
    <w:rsid w:val="4F3C403D"/>
    <w:rsid w:val="4F403E4F"/>
    <w:rsid w:val="4F422B90"/>
    <w:rsid w:val="4F754952"/>
    <w:rsid w:val="4FCE56A4"/>
    <w:rsid w:val="50797A1A"/>
    <w:rsid w:val="51483BB8"/>
    <w:rsid w:val="51D5349C"/>
    <w:rsid w:val="52220B1A"/>
    <w:rsid w:val="525A5E8B"/>
    <w:rsid w:val="53886A31"/>
    <w:rsid w:val="550A4FB9"/>
    <w:rsid w:val="561A782D"/>
    <w:rsid w:val="56A849A7"/>
    <w:rsid w:val="572B36C1"/>
    <w:rsid w:val="576859F1"/>
    <w:rsid w:val="583235DD"/>
    <w:rsid w:val="58E070AD"/>
    <w:rsid w:val="594840C5"/>
    <w:rsid w:val="59775559"/>
    <w:rsid w:val="5A86322B"/>
    <w:rsid w:val="5AA81246"/>
    <w:rsid w:val="5B14636C"/>
    <w:rsid w:val="5B407197"/>
    <w:rsid w:val="5C015CFD"/>
    <w:rsid w:val="5C3837A5"/>
    <w:rsid w:val="5C396022"/>
    <w:rsid w:val="5D34659A"/>
    <w:rsid w:val="5DF01A05"/>
    <w:rsid w:val="5EAF7993"/>
    <w:rsid w:val="5F5B3251"/>
    <w:rsid w:val="5FF92C16"/>
    <w:rsid w:val="60246519"/>
    <w:rsid w:val="60B66603"/>
    <w:rsid w:val="60EF20B9"/>
    <w:rsid w:val="61163957"/>
    <w:rsid w:val="613A6CB5"/>
    <w:rsid w:val="61DD4127"/>
    <w:rsid w:val="61F20B52"/>
    <w:rsid w:val="62C432B5"/>
    <w:rsid w:val="62EF0D29"/>
    <w:rsid w:val="63031705"/>
    <w:rsid w:val="634F3A37"/>
    <w:rsid w:val="658767EC"/>
    <w:rsid w:val="65E56044"/>
    <w:rsid w:val="6727256A"/>
    <w:rsid w:val="675C3C51"/>
    <w:rsid w:val="67CF42A7"/>
    <w:rsid w:val="67EB18A0"/>
    <w:rsid w:val="68141E66"/>
    <w:rsid w:val="68366D29"/>
    <w:rsid w:val="68C5245C"/>
    <w:rsid w:val="68D41B35"/>
    <w:rsid w:val="68F24B23"/>
    <w:rsid w:val="69F35107"/>
    <w:rsid w:val="6A000FAF"/>
    <w:rsid w:val="6A8411F3"/>
    <w:rsid w:val="6AB7205F"/>
    <w:rsid w:val="6ADE419E"/>
    <w:rsid w:val="6B037CF2"/>
    <w:rsid w:val="6B6A277B"/>
    <w:rsid w:val="6C417BAE"/>
    <w:rsid w:val="6C91069A"/>
    <w:rsid w:val="6C9E1A42"/>
    <w:rsid w:val="6CD161FF"/>
    <w:rsid w:val="6D423537"/>
    <w:rsid w:val="6EFA01CF"/>
    <w:rsid w:val="6F303611"/>
    <w:rsid w:val="70651733"/>
    <w:rsid w:val="71A71610"/>
    <w:rsid w:val="72721DCF"/>
    <w:rsid w:val="728B782A"/>
    <w:rsid w:val="73049D06"/>
    <w:rsid w:val="739509AF"/>
    <w:rsid w:val="740070B4"/>
    <w:rsid w:val="743106D8"/>
    <w:rsid w:val="74BE3A57"/>
    <w:rsid w:val="74DE0905"/>
    <w:rsid w:val="74E900D1"/>
    <w:rsid w:val="755F2A0E"/>
    <w:rsid w:val="757F1691"/>
    <w:rsid w:val="75E61EC4"/>
    <w:rsid w:val="76A42CE5"/>
    <w:rsid w:val="76A65C5C"/>
    <w:rsid w:val="76AC0BDF"/>
    <w:rsid w:val="76BC55B2"/>
    <w:rsid w:val="78212EAB"/>
    <w:rsid w:val="79486D39"/>
    <w:rsid w:val="7A23646C"/>
    <w:rsid w:val="7A6F2DBA"/>
    <w:rsid w:val="7AAA1B67"/>
    <w:rsid w:val="7B07375B"/>
    <w:rsid w:val="7B552D22"/>
    <w:rsid w:val="7B9377A5"/>
    <w:rsid w:val="7BB60354"/>
    <w:rsid w:val="7C832C10"/>
    <w:rsid w:val="7E7BAE3B"/>
    <w:rsid w:val="7E8423C0"/>
    <w:rsid w:val="7F876E60"/>
    <w:rsid w:val="7FC91FB8"/>
    <w:rsid w:val="7FFA4451"/>
    <w:rsid w:val="B6FBF279"/>
    <w:rsid w:val="BF9E448C"/>
    <w:rsid w:val="CFF7B68A"/>
    <w:rsid w:val="D6BD29AD"/>
    <w:rsid w:val="EFE7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paragraph" w:styleId="2">
    <w:name w:val="heading 2"/>
    <w:basedOn w:val="1"/>
    <w:next w:val="1"/>
    <w:qFormat/>
    <w:uiPriority w:val="0"/>
    <w:pPr>
      <w:keepNext/>
      <w:keepLines/>
      <w:spacing w:before="260" w:after="260" w:line="413" w:lineRule="auto"/>
      <w:outlineLvl w:val="1"/>
    </w:pPr>
    <w:rPr>
      <w:rFonts w:eastAsia="仿宋_GB2312"/>
      <w:b/>
      <w:sz w:val="28"/>
    </w:rPr>
  </w:style>
  <w:style w:type="paragraph" w:styleId="4">
    <w:name w:val="heading 3"/>
    <w:basedOn w:val="1"/>
    <w:next w:val="1"/>
    <w:qFormat/>
    <w:uiPriority w:val="0"/>
    <w:pPr>
      <w:spacing w:line="416" w:lineRule="auto"/>
      <w:outlineLvl w:val="2"/>
    </w:pPr>
    <w:rPr>
      <w:bCs/>
      <w:sz w:val="32"/>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semiHidden/>
    <w:unhideWhenUsed/>
    <w:qFormat/>
    <w:uiPriority w:val="99"/>
  </w:style>
  <w:style w:type="paragraph" w:styleId="6">
    <w:name w:val="Body Text"/>
    <w:basedOn w:val="1"/>
    <w:qFormat/>
    <w:uiPriority w:val="1"/>
    <w:pPr>
      <w:ind w:left="109"/>
    </w:pPr>
    <w:rPr>
      <w:rFonts w:ascii="方正仿宋_GBK" w:hAnsi="方正仿宋_GBK" w:eastAsia="方正仿宋_GBK"/>
      <w:sz w:val="32"/>
      <w:szCs w:val="32"/>
    </w:rPr>
  </w:style>
  <w:style w:type="paragraph" w:styleId="7">
    <w:name w:val="Body Text Indent"/>
    <w:basedOn w:val="1"/>
    <w:link w:val="25"/>
    <w:semiHidden/>
    <w:unhideWhenUsed/>
    <w:qFormat/>
    <w:uiPriority w:val="99"/>
    <w:pPr>
      <w:spacing w:after="120"/>
      <w:ind w:left="420" w:leftChars="200"/>
    </w:pPr>
  </w:style>
  <w:style w:type="paragraph" w:styleId="8">
    <w:name w:val="Balloon Text"/>
    <w:basedOn w:val="1"/>
    <w:link w:val="30"/>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32"/>
    <w:semiHidden/>
    <w:unhideWhenUsed/>
    <w:qFormat/>
    <w:uiPriority w:val="99"/>
    <w:rPr>
      <w:b/>
      <w:bCs/>
    </w:rPr>
  </w:style>
  <w:style w:type="paragraph" w:styleId="12">
    <w:name w:val="Body Text First Indent 2"/>
    <w:basedOn w:val="7"/>
    <w:qFormat/>
    <w:uiPriority w:val="99"/>
    <w:pPr>
      <w:ind w:firstLine="420" w:firstLineChars="200"/>
    </w:pPr>
    <w:rPr>
      <w:sz w:val="21"/>
    </w:rPr>
  </w:style>
  <w:style w:type="character" w:styleId="15">
    <w:name w:val="Hyperlink"/>
    <w:basedOn w:val="14"/>
    <w:semiHidden/>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paragraph" w:customStyle="1" w:styleId="17">
    <w:name w:val="正文-lcc"/>
    <w:basedOn w:val="1"/>
    <w:qFormat/>
    <w:uiPriority w:val="0"/>
    <w:pPr>
      <w:snapToGrid w:val="0"/>
      <w:spacing w:line="360" w:lineRule="auto"/>
      <w:ind w:firstLine="200" w:firstLineChars="200"/>
    </w:pPr>
    <w:rPr>
      <w:rFonts w:ascii="等线" w:hAnsi="等线" w:eastAsia="仿宋"/>
      <w:color w:val="000000"/>
      <w:sz w:val="24"/>
      <w:szCs w:val="20"/>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style>
  <w:style w:type="paragraph" w:customStyle="1" w:styleId="20">
    <w:name w:val="Table Paragraph"/>
    <w:basedOn w:val="1"/>
    <w:qFormat/>
    <w:uiPriority w:val="1"/>
  </w:style>
  <w:style w:type="character" w:customStyle="1" w:styleId="21">
    <w:name w:val="页眉 Char"/>
    <w:basedOn w:val="14"/>
    <w:link w:val="10"/>
    <w:qFormat/>
    <w:uiPriority w:val="99"/>
    <w:rPr>
      <w:sz w:val="18"/>
      <w:szCs w:val="18"/>
    </w:rPr>
  </w:style>
  <w:style w:type="character" w:customStyle="1" w:styleId="22">
    <w:name w:val="页脚 Char"/>
    <w:basedOn w:val="14"/>
    <w:link w:val="9"/>
    <w:qFormat/>
    <w:uiPriority w:val="99"/>
    <w:rPr>
      <w:sz w:val="18"/>
      <w:szCs w:val="18"/>
    </w:rPr>
  </w:style>
  <w:style w:type="paragraph" w:customStyle="1" w:styleId="23">
    <w:name w:val="环评正文"/>
    <w:basedOn w:val="1"/>
    <w:qFormat/>
    <w:uiPriority w:val="0"/>
    <w:pPr>
      <w:adjustRightInd w:val="0"/>
      <w:snapToGrid w:val="0"/>
      <w:spacing w:line="312" w:lineRule="auto"/>
      <w:ind w:firstLine="480" w:firstLineChars="200"/>
    </w:pPr>
    <w:rPr>
      <w:bCs/>
      <w:sz w:val="24"/>
      <w:szCs w:val="21"/>
    </w:rPr>
  </w:style>
  <w:style w:type="paragraph" w:customStyle="1" w:styleId="24">
    <w:name w:val="文本"/>
    <w:basedOn w:val="1"/>
    <w:qFormat/>
    <w:uiPriority w:val="99"/>
    <w:pPr>
      <w:spacing w:line="360" w:lineRule="auto"/>
      <w:ind w:firstLine="200" w:firstLineChars="200"/>
    </w:pPr>
    <w:rPr>
      <w:rFonts w:ascii="Times New Roman" w:hAnsi="Times New Roman"/>
      <w:sz w:val="24"/>
      <w:szCs w:val="24"/>
    </w:rPr>
  </w:style>
  <w:style w:type="character" w:customStyle="1" w:styleId="25">
    <w:name w:val="正文文本缩进 Char"/>
    <w:basedOn w:val="14"/>
    <w:link w:val="7"/>
    <w:semiHidden/>
    <w:qFormat/>
    <w:uiPriority w:val="99"/>
    <w:rPr>
      <w:rFonts w:asciiTheme="minorHAnsi" w:hAnsiTheme="minorHAnsi" w:eastAsiaTheme="minorEastAsia" w:cstheme="minorBidi"/>
      <w:sz w:val="22"/>
      <w:szCs w:val="22"/>
      <w:lang w:eastAsia="en-US"/>
    </w:rPr>
  </w:style>
  <w:style w:type="paragraph" w:customStyle="1" w:styleId="26">
    <w:name w:val="Default"/>
    <w:qFormat/>
    <w:uiPriority w:val="0"/>
    <w:pPr>
      <w:widowControl w:val="0"/>
      <w:autoSpaceDE w:val="0"/>
      <w:autoSpaceDN w:val="0"/>
      <w:adjustRightInd w:val="0"/>
    </w:pPr>
    <w:rPr>
      <w:rFonts w:ascii="华文行楷" w:hAnsi="Times New Roman" w:eastAsia="华文行楷" w:cs="华文行楷"/>
      <w:color w:val="000000"/>
      <w:sz w:val="24"/>
      <w:szCs w:val="24"/>
      <w:lang w:val="en-US" w:eastAsia="zh-CN" w:bidi="ar-SA"/>
    </w:rPr>
  </w:style>
  <w:style w:type="paragraph" w:customStyle="1" w:styleId="27">
    <w:name w:val="密级"/>
    <w:basedOn w:val="1"/>
    <w:qFormat/>
    <w:uiPriority w:val="0"/>
    <w:pPr>
      <w:adjustRightInd w:val="0"/>
      <w:spacing w:line="425" w:lineRule="atLeast"/>
      <w:jc w:val="right"/>
    </w:pPr>
    <w:rPr>
      <w:rFonts w:ascii="黑体" w:eastAsia="黑体"/>
      <w:sz w:val="30"/>
    </w:rPr>
  </w:style>
  <w:style w:type="paragraph" w:customStyle="1" w:styleId="28">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29">
    <w:name w:val="红线"/>
    <w:basedOn w:val="3"/>
    <w:qFormat/>
    <w:uiPriority w:val="0"/>
    <w:pPr>
      <w:keepNext w:val="0"/>
      <w:keepLines w:val="0"/>
      <w:adjustRightInd w:val="0"/>
      <w:spacing w:before="0" w:after="851" w:line="227" w:lineRule="atLeast"/>
      <w:ind w:right="-142"/>
      <w:jc w:val="center"/>
      <w:outlineLvl w:val="9"/>
    </w:pPr>
    <w:rPr>
      <w:rFonts w:ascii="宋体" w:eastAsia="宋体"/>
      <w:bCs w:val="0"/>
      <w:kern w:val="0"/>
      <w:sz w:val="10"/>
      <w:szCs w:val="20"/>
    </w:rPr>
  </w:style>
  <w:style w:type="character" w:customStyle="1" w:styleId="30">
    <w:name w:val="批注框文本 Char"/>
    <w:basedOn w:val="14"/>
    <w:link w:val="8"/>
    <w:semiHidden/>
    <w:qFormat/>
    <w:uiPriority w:val="99"/>
    <w:rPr>
      <w:rFonts w:asciiTheme="minorHAnsi" w:hAnsiTheme="minorHAnsi" w:eastAsiaTheme="minorEastAsia" w:cstheme="minorBidi"/>
      <w:sz w:val="18"/>
      <w:szCs w:val="18"/>
      <w:lang w:eastAsia="en-US"/>
    </w:rPr>
  </w:style>
  <w:style w:type="character" w:customStyle="1" w:styleId="31">
    <w:name w:val="批注文字 Char"/>
    <w:basedOn w:val="14"/>
    <w:link w:val="5"/>
    <w:semiHidden/>
    <w:qFormat/>
    <w:uiPriority w:val="99"/>
    <w:rPr>
      <w:rFonts w:asciiTheme="minorHAnsi" w:hAnsiTheme="minorHAnsi" w:eastAsiaTheme="minorEastAsia" w:cstheme="minorBidi"/>
      <w:sz w:val="22"/>
      <w:szCs w:val="22"/>
      <w:lang w:eastAsia="en-US"/>
    </w:rPr>
  </w:style>
  <w:style w:type="character" w:customStyle="1" w:styleId="32">
    <w:name w:val="批注主题 Char"/>
    <w:basedOn w:val="31"/>
    <w:link w:val="11"/>
    <w:semiHidden/>
    <w:qFormat/>
    <w:uiPriority w:val="99"/>
    <w:rPr>
      <w:rFonts w:asciiTheme="minorHAnsi" w:hAnsiTheme="minorHAnsi" w:eastAsiaTheme="minorEastAsia" w:cstheme="minorBidi"/>
      <w:b/>
      <w:bCs/>
      <w:sz w:val="22"/>
      <w:szCs w:val="22"/>
      <w:lang w:eastAsia="en-US"/>
    </w:rPr>
  </w:style>
  <w:style w:type="paragraph" w:customStyle="1" w:styleId="33">
    <w:name w:val="标题1"/>
    <w:basedOn w:val="1"/>
    <w:next w:val="1"/>
    <w:qFormat/>
    <w:uiPriority w:val="0"/>
    <w:pPr>
      <w:tabs>
        <w:tab w:val="left" w:pos="9193"/>
        <w:tab w:val="left" w:pos="9827"/>
      </w:tabs>
      <w:spacing w:line="700" w:lineRule="atLeast"/>
      <w:jc w:val="center"/>
    </w:pPr>
    <w:rPr>
      <w:rFonts w:eastAsia="方正小标宋_GBK"/>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286</Words>
  <Characters>1632</Characters>
  <Lines>13</Lines>
  <Paragraphs>3</Paragraphs>
  <TotalTime>1</TotalTime>
  <ScaleCrop>false</ScaleCrop>
  <LinksUpToDate>false</LinksUpToDate>
  <CharactersWithSpaces>1915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2023-03-04T02:06:00Z</dcterms:created>
  <dc:creator>Administrator</dc:creator>
  <cp:lastModifiedBy>user</cp:lastModifiedBy>
  <cp:lastPrinted>2024-05-01T10:02:00Z</cp:lastPrinted>
  <dcterms:modified xsi:type="dcterms:W3CDTF">2024-06-11T09:05:29Z</dcterms:modified>
  <dc:title>审批意见：</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LastSaved">
    <vt:filetime>2021-12-20T00:00:00Z</vt:filetime>
  </property>
  <property fmtid="{D5CDD505-2E9C-101B-9397-08002B2CF9AE}" pid="4" name="KSOProductBuildVer">
    <vt:lpwstr>2052-11.8.2.10953</vt:lpwstr>
  </property>
  <property fmtid="{D5CDD505-2E9C-101B-9397-08002B2CF9AE}" pid="5" name="ICV">
    <vt:lpwstr>D5F744FA3F4B4956BC55D6A4C4EA4C47</vt:lpwstr>
  </property>
</Properties>
</file>