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宋体" w:eastAsia="仿宋_GB2312"/>
          <w:bCs/>
          <w:sz w:val="32"/>
          <w:szCs w:val="44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bCs/>
          <w:sz w:val="32"/>
          <w:szCs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bCs/>
          <w:sz w:val="32"/>
          <w:szCs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bCs/>
          <w:sz w:val="32"/>
          <w:szCs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bCs/>
          <w:sz w:val="32"/>
          <w:szCs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bCs/>
          <w:sz w:val="32"/>
          <w:szCs w:val="44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bCs/>
          <w:sz w:val="32"/>
          <w:szCs w:val="44"/>
        </w:rPr>
      </w:pPr>
    </w:p>
    <w:p>
      <w:pPr>
        <w:spacing w:line="580" w:lineRule="exact"/>
        <w:jc w:val="center"/>
        <w:rPr>
          <w:rFonts w:hint="eastAsia"/>
          <w:sz w:val="32"/>
          <w:szCs w:val="32"/>
        </w:rPr>
      </w:pPr>
    </w:p>
    <w:p>
      <w:pPr>
        <w:tabs>
          <w:tab w:val="left" w:pos="9193"/>
          <w:tab w:val="left" w:pos="9827"/>
        </w:tabs>
        <w:snapToGrid w:val="0"/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洋发〔2022〕1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80" w:lineRule="exact"/>
        <w:jc w:val="center"/>
        <w:rPr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洋口镇网格化服务管理工作绩效考核办法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为全面提升网格服务管理水平，最大限度地激发全科网格队伍工作的积极性、主动性和创造性，推动该项工作长效有序运行，根据《城乡社区网格化服务管理规范》（</w:t>
      </w:r>
      <w:r>
        <w:rPr>
          <w:rFonts w:ascii="仿宋_GB2312" w:hAnsi="仿宋" w:eastAsia="仿宋_GB2312"/>
          <w:sz w:val="32"/>
          <w:szCs w:val="32"/>
        </w:rPr>
        <w:t>GBT34300-2017</w:t>
      </w:r>
      <w:r>
        <w:rPr>
          <w:rFonts w:hint="eastAsia" w:ascii="仿宋_GB2312" w:hAnsi="仿宋" w:eastAsia="仿宋_GB2312"/>
          <w:sz w:val="32"/>
          <w:szCs w:val="32"/>
        </w:rPr>
        <w:t>）、《江苏省城乡网格化服务管理办法》（省政府令第</w:t>
      </w:r>
      <w:r>
        <w:rPr>
          <w:rFonts w:ascii="仿宋_GB2312" w:hAnsi="仿宋" w:eastAsia="仿宋_GB2312"/>
          <w:sz w:val="32"/>
          <w:szCs w:val="32"/>
        </w:rPr>
        <w:t>141</w:t>
      </w:r>
      <w:r>
        <w:rPr>
          <w:rFonts w:hint="eastAsia" w:ascii="仿宋_GB2312" w:hAnsi="仿宋" w:eastAsia="仿宋_GB2312"/>
          <w:sz w:val="32"/>
          <w:szCs w:val="32"/>
        </w:rPr>
        <w:t>号）、《关于实施全县网格化服务管理提标创优工程的指导意见》（东网格办〔</w:t>
      </w: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号）、《如东县网格员工作绩效考核办法》（东委政法〔</w:t>
      </w:r>
      <w:r>
        <w:rPr>
          <w:rFonts w:ascii="仿宋_GB2312" w:hAnsi="仿宋" w:eastAsia="仿宋_GB2312"/>
          <w:sz w:val="32"/>
          <w:szCs w:val="32"/>
        </w:rPr>
        <w:t>2018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ascii="仿宋_GB2312" w:hAnsi="仿宋" w:eastAsia="仿宋_GB2312"/>
          <w:sz w:val="32"/>
          <w:szCs w:val="32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号文件精神），特制定洋口镇网格化服务管理工作绩效考核办法。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一、考核对象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/>
          <w:w w:val="98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洋口镇各村网格长和专职网格员、兼职网格员。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二、考核目标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通过对网格工作开展情况进行科学测评与量化考核，促进网格长、专职网格员和兼职网格员更好地履职尽责，促进网格体系高效运转，帮助维护群众合法权益，解决群众关心的问题，不断深入推进网格化服务管理工作，不断提升网格员业务技能，强化网格服务质量，努力构建和谐稳定的社会环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三、考核内容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绩效考核总分</w:t>
      </w:r>
      <w:r>
        <w:rPr>
          <w:rFonts w:ascii="仿宋_GB2312" w:hAnsi="仿宋" w:eastAsia="仿宋_GB2312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分（考核细则详见附件），项目分值为：民意测评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分；网格巡查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分；网格责任落实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分。考评坚持过程性考核和结果性考核相结合的原则，分为季度考评和年度考评。</w:t>
      </w:r>
    </w:p>
    <w:p>
      <w:pPr>
        <w:pStyle w:val="2"/>
        <w:spacing w:line="580" w:lineRule="exact"/>
        <w:ind w:right="431" w:firstLine="643" w:firstLineChars="200"/>
        <w:rPr>
          <w:rFonts w:ascii="Times New Roman" w:hAnsi="Times New Roman" w:eastAsia="楷体_GB2312" w:cs="楷体_GB2312"/>
          <w:b/>
          <w:lang w:eastAsia="zh-CN"/>
        </w:rPr>
      </w:pPr>
      <w:r>
        <w:rPr>
          <w:rFonts w:hint="eastAsia" w:ascii="Times New Roman" w:hAnsi="Times New Roman" w:eastAsia="楷体_GB2312" w:cs="楷体_GB2312"/>
          <w:b/>
          <w:lang w:eastAsia="zh-CN"/>
        </w:rPr>
        <w:t>（一）民意测评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随机抽取网格内居民、商户、单位等服务对象，对网格服务管理的网格员知晓率、网格服务覆盖率、网格服务满意率进行测评。按照“分级测评”原则，网格长每月对下属专兼职网格员进行民意测评打分，并报村网格办综合排名；镇网格办每月对辖区内的网格和网格长进行民意测评排名。</w:t>
      </w:r>
    </w:p>
    <w:p>
      <w:pPr>
        <w:pStyle w:val="2"/>
        <w:spacing w:line="580" w:lineRule="exact"/>
        <w:ind w:right="431" w:firstLine="643" w:firstLineChars="200"/>
        <w:rPr>
          <w:rFonts w:ascii="Times New Roman" w:hAnsi="Times New Roman" w:eastAsia="楷体_GB2312" w:cs="楷体_GB2312"/>
          <w:b/>
          <w:lang w:eastAsia="zh-CN"/>
        </w:rPr>
      </w:pPr>
      <w:r>
        <w:rPr>
          <w:rFonts w:hint="eastAsia" w:ascii="Times New Roman" w:hAnsi="Times New Roman" w:eastAsia="楷体_GB2312" w:cs="楷体_GB2312"/>
          <w:b/>
          <w:lang w:eastAsia="zh-CN"/>
        </w:rPr>
        <w:t>（二）网格巡查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格巡查执行每日签到、每天会商、一日双巡三项制度。每日签到，即专兼职网格员每日应到社区、村签到；每天会商，即村网格办应每天召集网格长、专兼职网格员布置会商辖区当日工作；一日双巡，即各村村网格长和专职网格员、兼职网格员工作时间每天上午、下午在网格内各走访巡查一次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巡查情况及时录入网格化信息系统。各村网格长、兼职网格员每次巡查不少于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小时，专职网格员不少于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小时。</w:t>
      </w:r>
    </w:p>
    <w:p>
      <w:pPr>
        <w:pStyle w:val="2"/>
        <w:spacing w:line="580" w:lineRule="exact"/>
        <w:ind w:right="431" w:firstLine="643" w:firstLineChars="200"/>
        <w:rPr>
          <w:rFonts w:ascii="Times New Roman" w:hAnsi="Times New Roman" w:eastAsia="楷体_GB2312" w:cs="楷体_GB2312"/>
          <w:b/>
          <w:lang w:eastAsia="zh-CN"/>
        </w:rPr>
      </w:pPr>
      <w:r>
        <w:rPr>
          <w:rFonts w:hint="eastAsia" w:ascii="Times New Roman" w:hAnsi="Times New Roman" w:eastAsia="楷体_GB2312" w:cs="楷体_GB2312"/>
          <w:b/>
          <w:lang w:eastAsia="zh-CN"/>
        </w:rPr>
        <w:t>（三）网格责任落实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网格基础信息。走访网格内居民群众，采集网格内的人口、房屋、标准地址、法人单位等基础信息，做到底数清、情况明、信息准，并根据变化情况及时更新。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收集社情民意。</w:t>
      </w: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收集和掌握网格内居民群众的需求和意见建议，对普遍关注的社会热点问题、影响和制约和谐稳定的突出问题及时反映。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开展便民服务。</w:t>
      </w: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掌握网格内居民群众的服务需求和诉求事项，实行直接办理或代办服务；配合相关职能部门，综合履行网格内的社会治安、安全生产、环境保护、市场监管、城市管理等多项服务职责。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处理网格事务。</w:t>
      </w:r>
      <w:r>
        <w:rPr>
          <w:rFonts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落实网格巡查，在走访、巡查过程中发现的问题，属职责之内、能力可及的，立即自行现场处理，并记录备案；解决不了的立即上报，并做好跟进。对于突发性问题，立即上报，现场跟踪并协助紧急处理。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加强政策宣传。向网格内居民、单位宣传党的路线方针政策、党委政府重要决策，以及国家法律法规等。</w:t>
      </w:r>
    </w:p>
    <w:p>
      <w:pPr>
        <w:spacing w:line="580" w:lineRule="exact"/>
        <w:ind w:firstLine="640" w:firstLineChars="200"/>
        <w:rPr>
          <w:rFonts w:ascii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四、考核方法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核实行“统一标准、分级考核、述职排名、奖励到人”原则。“统一标准”，即各考核对象统一按照《洋口镇网格化服务管理工作绩效考核办法》，采用百分制考核绩效。“分级考核”，即村级网格办先组织考评，并将排名报镇网格办。镇网格办综合各村上报的排名结果和履职情况进行复核，衡量相应村的整体工作绩效，并作为奖补等次名额分配的依据。“述职排名”，即各级网格办组织纪检、组织等部门以及服务对象代表开展述职测评，测评排名纳入综合考核。“奖励到人”，即各村网格办按照考核结果，评定辖区专、兼职网格员“优秀”、“良好”、“合格”等次，原则把握“优秀”</w:t>
      </w:r>
      <w:r>
        <w:rPr>
          <w:rFonts w:ascii="仿宋_GB2312" w:hAnsi="仿宋" w:eastAsia="仿宋_GB2312"/>
          <w:sz w:val="32"/>
          <w:szCs w:val="32"/>
        </w:rPr>
        <w:t>20%</w:t>
      </w:r>
      <w:r>
        <w:rPr>
          <w:rFonts w:hint="eastAsia" w:ascii="仿宋_GB2312" w:hAnsi="仿宋" w:eastAsia="仿宋_GB2312"/>
          <w:sz w:val="32"/>
          <w:szCs w:val="32"/>
        </w:rPr>
        <w:t>、“良好”</w:t>
      </w:r>
      <w:r>
        <w:rPr>
          <w:rFonts w:ascii="仿宋_GB2312" w:hAnsi="仿宋" w:eastAsia="仿宋_GB2312"/>
          <w:sz w:val="32"/>
          <w:szCs w:val="32"/>
        </w:rPr>
        <w:t>60%</w:t>
      </w:r>
      <w:r>
        <w:rPr>
          <w:rFonts w:hint="eastAsia" w:ascii="仿宋_GB2312" w:hAnsi="仿宋" w:eastAsia="仿宋_GB2312"/>
          <w:sz w:val="32"/>
          <w:szCs w:val="32"/>
        </w:rPr>
        <w:t>、“合格”</w:t>
      </w:r>
      <w:r>
        <w:rPr>
          <w:rFonts w:ascii="仿宋_GB2312" w:hAnsi="仿宋" w:eastAsia="仿宋_GB2312"/>
          <w:sz w:val="32"/>
          <w:szCs w:val="32"/>
        </w:rPr>
        <w:t>20%</w:t>
      </w:r>
      <w:r>
        <w:rPr>
          <w:rFonts w:hint="eastAsia" w:ascii="仿宋_GB2312" w:hAnsi="仿宋" w:eastAsia="仿宋_GB2312"/>
          <w:sz w:val="32"/>
          <w:szCs w:val="32"/>
        </w:rPr>
        <w:t>的比例（不合格按否决条件确定），并按照县网格办下达的奖补名额指标做好调整。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五、奖励标准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（一）专职网格员。专职网格员的考核与县对镇网格化管理工作考核相挂钩，分月度考核和年终考核，镇网格化工作在全县每月网格化考核中位于第一等次（</w:t>
      </w:r>
      <w:r>
        <w:rPr>
          <w:rFonts w:ascii="仿宋_GB2312" w:hAnsi="仿宋" w:eastAsia="仿宋_GB2312"/>
          <w:sz w:val="32"/>
          <w:szCs w:val="32"/>
        </w:rPr>
        <w:t>1—4</w:t>
      </w:r>
      <w:r>
        <w:rPr>
          <w:rFonts w:hint="eastAsia" w:ascii="仿宋_GB2312" w:hAnsi="仿宋" w:eastAsia="仿宋_GB2312"/>
          <w:sz w:val="32"/>
          <w:szCs w:val="32"/>
        </w:rPr>
        <w:t>名）的，每人每月奖励</w:t>
      </w:r>
      <w:r>
        <w:rPr>
          <w:rFonts w:ascii="仿宋_GB2312" w:hAnsi="仿宋" w:eastAsia="仿宋_GB2312"/>
          <w:sz w:val="32"/>
          <w:szCs w:val="32"/>
        </w:rPr>
        <w:t>600</w:t>
      </w:r>
      <w:r>
        <w:rPr>
          <w:rFonts w:hint="eastAsia" w:ascii="仿宋_GB2312" w:hAnsi="仿宋" w:eastAsia="仿宋_GB2312"/>
          <w:sz w:val="32"/>
          <w:szCs w:val="32"/>
        </w:rPr>
        <w:t>元，位于第二等次（</w:t>
      </w:r>
      <w:r>
        <w:rPr>
          <w:rFonts w:ascii="仿宋_GB2312" w:hAnsi="仿宋" w:eastAsia="仿宋_GB2312"/>
          <w:sz w:val="32"/>
          <w:szCs w:val="32"/>
        </w:rPr>
        <w:t>5—8</w:t>
      </w:r>
      <w:r>
        <w:rPr>
          <w:rFonts w:hint="eastAsia" w:ascii="仿宋_GB2312" w:hAnsi="仿宋" w:eastAsia="仿宋_GB2312"/>
          <w:sz w:val="32"/>
          <w:szCs w:val="32"/>
        </w:rPr>
        <w:t>名）的，每人每月奖励</w:t>
      </w:r>
      <w:r>
        <w:rPr>
          <w:rFonts w:ascii="仿宋_GB2312" w:hAnsi="仿宋" w:eastAsia="仿宋_GB2312"/>
          <w:sz w:val="32"/>
          <w:szCs w:val="32"/>
        </w:rPr>
        <w:t>400</w:t>
      </w:r>
      <w:r>
        <w:rPr>
          <w:rFonts w:hint="eastAsia" w:ascii="仿宋_GB2312" w:hAnsi="仿宋" w:eastAsia="仿宋_GB2312"/>
          <w:sz w:val="32"/>
          <w:szCs w:val="32"/>
        </w:rPr>
        <w:t>元。镇网格化工作在年终全县考核中位于第一等次（</w:t>
      </w:r>
      <w:r>
        <w:rPr>
          <w:rFonts w:ascii="仿宋_GB2312" w:hAnsi="仿宋" w:eastAsia="仿宋_GB2312"/>
          <w:sz w:val="32"/>
          <w:szCs w:val="32"/>
        </w:rPr>
        <w:t>1—4</w:t>
      </w:r>
      <w:r>
        <w:rPr>
          <w:rFonts w:hint="eastAsia" w:ascii="仿宋_GB2312" w:hAnsi="仿宋" w:eastAsia="仿宋_GB2312"/>
          <w:sz w:val="32"/>
          <w:szCs w:val="32"/>
        </w:rPr>
        <w:t>名）的，每人年终奖励</w:t>
      </w:r>
      <w:r>
        <w:rPr>
          <w:rFonts w:ascii="仿宋_GB2312" w:hAnsi="仿宋" w:eastAsia="仿宋_GB2312"/>
          <w:sz w:val="32"/>
          <w:szCs w:val="32"/>
        </w:rPr>
        <w:t>3000</w:t>
      </w:r>
      <w:r>
        <w:rPr>
          <w:rFonts w:hint="eastAsia" w:ascii="仿宋_GB2312" w:hAnsi="仿宋" w:eastAsia="仿宋_GB2312"/>
          <w:sz w:val="32"/>
          <w:szCs w:val="32"/>
        </w:rPr>
        <w:t>元，位于第二等次（</w:t>
      </w:r>
      <w:r>
        <w:rPr>
          <w:rFonts w:ascii="仿宋_GB2312" w:hAnsi="仿宋" w:eastAsia="仿宋_GB2312"/>
          <w:sz w:val="32"/>
          <w:szCs w:val="32"/>
        </w:rPr>
        <w:t>5—8</w:t>
      </w:r>
      <w:r>
        <w:rPr>
          <w:rFonts w:hint="eastAsia" w:ascii="仿宋_GB2312" w:hAnsi="仿宋" w:eastAsia="仿宋_GB2312"/>
          <w:sz w:val="32"/>
          <w:szCs w:val="32"/>
        </w:rPr>
        <w:t>名）的，每人年终奖励</w:t>
      </w:r>
      <w:r>
        <w:rPr>
          <w:rFonts w:ascii="仿宋_GB2312" w:hAnsi="仿宋" w:eastAsia="仿宋_GB2312"/>
          <w:sz w:val="32"/>
          <w:szCs w:val="32"/>
        </w:rPr>
        <w:t>1500</w:t>
      </w:r>
      <w:r>
        <w:rPr>
          <w:rFonts w:hint="eastAsia" w:ascii="仿宋_GB2312" w:hAnsi="仿宋" w:eastAsia="仿宋_GB2312"/>
          <w:sz w:val="32"/>
          <w:szCs w:val="32"/>
        </w:rPr>
        <w:t>元（专职网格员涉及“一票否决”情况的不参与考核奖励）。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（二）网格长。对网格长实行年终评优评先，以全镇网格长和兼职网格员的总数为基数，每年评选出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％的优秀网格长报县核定后由县级发放奖补资金。具体名额分配与镇对村平时考核挂钩项考核优秀的村居适当倾斜。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（三）兼职网格员。镇网格办按照人均每季度合格</w:t>
      </w:r>
      <w:r>
        <w:rPr>
          <w:rFonts w:ascii="仿宋_GB2312" w:hAnsi="仿宋" w:eastAsia="仿宋_GB2312"/>
          <w:sz w:val="32"/>
          <w:szCs w:val="32"/>
        </w:rPr>
        <w:t>300</w:t>
      </w:r>
      <w:r>
        <w:rPr>
          <w:rFonts w:hint="eastAsia" w:ascii="仿宋_GB2312" w:hAnsi="仿宋" w:eastAsia="仿宋_GB2312"/>
          <w:sz w:val="32"/>
          <w:szCs w:val="32"/>
        </w:rPr>
        <w:t>元、良好</w:t>
      </w:r>
      <w:r>
        <w:rPr>
          <w:rFonts w:ascii="仿宋_GB2312" w:hAnsi="仿宋" w:eastAsia="仿宋_GB2312"/>
          <w:sz w:val="32"/>
          <w:szCs w:val="32"/>
        </w:rPr>
        <w:t>450</w:t>
      </w:r>
      <w:r>
        <w:rPr>
          <w:rFonts w:hint="eastAsia" w:ascii="仿宋_GB2312" w:hAnsi="仿宋" w:eastAsia="仿宋_GB2312"/>
          <w:sz w:val="32"/>
          <w:szCs w:val="32"/>
        </w:rPr>
        <w:t>元、优秀</w:t>
      </w:r>
      <w:r>
        <w:rPr>
          <w:rFonts w:ascii="仿宋_GB2312" w:hAnsi="仿宋" w:eastAsia="仿宋_GB2312"/>
          <w:sz w:val="32"/>
          <w:szCs w:val="32"/>
        </w:rPr>
        <w:t>600</w:t>
      </w:r>
      <w:r>
        <w:rPr>
          <w:rFonts w:hint="eastAsia" w:ascii="仿宋_GB2312" w:hAnsi="仿宋" w:eastAsia="仿宋_GB2312"/>
          <w:sz w:val="32"/>
          <w:szCs w:val="32"/>
        </w:rPr>
        <w:t>元的标准奖励，优秀、良好、合格的比例为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％、</w:t>
      </w:r>
      <w:r>
        <w:rPr>
          <w:rFonts w:ascii="仿宋_GB2312" w:hAnsi="仿宋" w:eastAsia="仿宋_GB2312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％、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％，于每季度的次月发放到位。县网格办同步评定，奖励标准由县确定。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（四）文章录用奖励。网格长、专职网格员、兼职网格员涉及网格工作类的宣传稿件被镇、县、市、省、国家级媒体录用的分别奖励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元、</w:t>
      </w:r>
      <w:r>
        <w:rPr>
          <w:rFonts w:ascii="仿宋_GB2312" w:hAnsi="仿宋" w:eastAsia="仿宋_GB2312"/>
          <w:sz w:val="32"/>
          <w:szCs w:val="32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元、</w:t>
      </w:r>
      <w:r>
        <w:rPr>
          <w:rFonts w:ascii="仿宋_GB2312" w:hAnsi="仿宋" w:eastAsia="仿宋_GB2312"/>
          <w:sz w:val="32"/>
          <w:szCs w:val="32"/>
        </w:rPr>
        <w:t>500</w:t>
      </w:r>
      <w:r>
        <w:rPr>
          <w:rFonts w:hint="eastAsia" w:ascii="仿宋_GB2312" w:hAnsi="仿宋" w:eastAsia="仿宋_GB2312"/>
          <w:sz w:val="32"/>
          <w:szCs w:val="32"/>
        </w:rPr>
        <w:t>元、</w:t>
      </w:r>
      <w:r>
        <w:rPr>
          <w:rFonts w:ascii="仿宋_GB2312" w:hAnsi="仿宋" w:eastAsia="仿宋_GB2312"/>
          <w:sz w:val="32"/>
          <w:szCs w:val="32"/>
        </w:rPr>
        <w:t>800</w:t>
      </w:r>
      <w:r>
        <w:rPr>
          <w:rFonts w:hint="eastAsia" w:ascii="仿宋_GB2312" w:hAnsi="仿宋" w:eastAsia="仿宋_GB2312"/>
          <w:sz w:val="32"/>
          <w:szCs w:val="32"/>
        </w:rPr>
        <w:t>元、</w:t>
      </w:r>
      <w:r>
        <w:rPr>
          <w:rFonts w:ascii="仿宋_GB2312" w:hAnsi="仿宋" w:eastAsia="仿宋_GB2312"/>
          <w:sz w:val="32"/>
          <w:szCs w:val="32"/>
        </w:rPr>
        <w:t>1000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（五）信息录用奖励。网格长、专职网格员上报的有价值信息，被县录用每条奖励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元，被市录用，每条奖励</w:t>
      </w:r>
      <w:r>
        <w:rPr>
          <w:rFonts w:ascii="仿宋_GB2312" w:hAnsi="仿宋" w:eastAsia="仿宋_GB2312"/>
          <w:sz w:val="32"/>
          <w:szCs w:val="32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元，被省录用，每条奖励</w:t>
      </w:r>
      <w:r>
        <w:rPr>
          <w:rFonts w:ascii="仿宋_GB2312" w:hAnsi="仿宋" w:eastAsia="仿宋_GB2312"/>
          <w:sz w:val="32"/>
          <w:szCs w:val="32"/>
        </w:rPr>
        <w:t>500</w:t>
      </w:r>
      <w:r>
        <w:rPr>
          <w:rFonts w:hint="eastAsia" w:ascii="仿宋_GB2312" w:hAnsi="仿宋" w:eastAsia="仿宋_GB2312"/>
          <w:sz w:val="32"/>
          <w:szCs w:val="32"/>
        </w:rPr>
        <w:t>元，被国家录用，每条奖励</w:t>
      </w:r>
      <w:r>
        <w:rPr>
          <w:rFonts w:ascii="仿宋_GB2312" w:hAnsi="仿宋" w:eastAsia="仿宋_GB2312"/>
          <w:sz w:val="32"/>
          <w:szCs w:val="32"/>
        </w:rPr>
        <w:t>1000</w:t>
      </w:r>
      <w:r>
        <w:rPr>
          <w:rFonts w:hint="eastAsia" w:ascii="仿宋_GB2312" w:hAnsi="仿宋" w:eastAsia="仿宋_GB2312"/>
          <w:sz w:val="32"/>
          <w:szCs w:val="32"/>
        </w:rPr>
        <w:t>元。信息内容包含违章建筑、环境污染、社会治安、安全隐患、信访维稳，突发事件等。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六</w:t>
      </w:r>
      <w:r>
        <w:rPr>
          <w:rFonts w:ascii="仿宋_GB2312" w:hAnsi="仿宋" w:eastAsia="仿宋_GB2312"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</w:rPr>
        <w:t>“一票否决”情况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有以下情形之一且造成重大影响的，经集体讨论实施“一票否决”，取消网格化管理工作评优评先资格。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在网格化服务管理工作中，多次受到群众投诉的；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漏报或报送不及时网格内发生的重大信息（指发生群体性事件、重大案事件、自然灾害事故、火灾事故等突发事件）造成严重后果的；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因工作不力被县、镇通报批评的；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有违法违纪行为的。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附：《洋口镇网格员工作绩效考核细则》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right="640" w:firstLine="3200" w:firstLineChars="10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中共如东县洋口镇委员会</w:t>
      </w:r>
    </w:p>
    <w:p>
      <w:pPr>
        <w:spacing w:line="580" w:lineRule="exact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如东县洋口镇人民政府</w:t>
      </w:r>
    </w:p>
    <w:p>
      <w:pPr>
        <w:spacing w:line="580" w:lineRule="exact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3"/>
        <w:spacing w:line="590" w:lineRule="exact"/>
      </w:pPr>
    </w:p>
    <w:p>
      <w:pPr>
        <w:spacing w:line="540" w:lineRule="exact"/>
        <w:ind w:right="640"/>
        <w:rPr>
          <w:rFonts w:hint="eastAsia" w:ascii="仿宋" w:hAnsi="仿宋" w:eastAsia="仿宋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right="64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right="640" w:firstLine="880" w:firstLineChars="200"/>
        <w:jc w:val="center"/>
        <w:rPr>
          <w:rFonts w:hint="eastAsia"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洋口镇网格化服务管理工作绩效考核细则</w:t>
      </w:r>
    </w:p>
    <w:tbl>
      <w:tblPr>
        <w:tblStyle w:val="8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65"/>
        <w:gridCol w:w="3450"/>
        <w:gridCol w:w="735"/>
        <w:gridCol w:w="7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34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考核项目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  <w:tc>
          <w:tcPr>
            <w:tcW w:w="79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民意测评</w:t>
            </w:r>
          </w:p>
        </w:tc>
        <w:tc>
          <w:tcPr>
            <w:tcW w:w="3450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网格员知晓率、网格服务覆盖率、网格服务满意率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965" w:type="dxa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网格员知晓率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分、网格服务覆盖率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分、网格服务满意率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分。“三率”评分标准均为：</w:t>
            </w:r>
            <w:r>
              <w:rPr>
                <w:rFonts w:ascii="仿宋" w:hAnsi="仿宋" w:eastAsia="仿宋"/>
                <w:sz w:val="24"/>
                <w:szCs w:val="24"/>
              </w:rPr>
              <w:t>100%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</w:t>
            </w:r>
            <w:r>
              <w:rPr>
                <w:rFonts w:ascii="仿宋" w:hAnsi="仿宋" w:eastAsia="仿宋"/>
                <w:sz w:val="24"/>
                <w:szCs w:val="24"/>
              </w:rPr>
              <w:t>≥90%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</w:t>
            </w:r>
            <w:r>
              <w:rPr>
                <w:rFonts w:ascii="仿宋" w:hAnsi="仿宋" w:eastAsia="仿宋"/>
                <w:sz w:val="24"/>
                <w:szCs w:val="24"/>
              </w:rPr>
              <w:t>≥80%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</w:t>
            </w:r>
            <w:r>
              <w:rPr>
                <w:rFonts w:ascii="仿宋" w:hAnsi="仿宋" w:eastAsia="仿宋"/>
                <w:sz w:val="24"/>
                <w:szCs w:val="24"/>
              </w:rPr>
              <w:t>≥70%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</w:t>
            </w:r>
            <w:r>
              <w:rPr>
                <w:rFonts w:ascii="仿宋" w:hAnsi="仿宋" w:eastAsia="仿宋"/>
                <w:sz w:val="24"/>
                <w:szCs w:val="24"/>
              </w:rPr>
              <w:t>≥60%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分，＜</w:t>
            </w:r>
            <w:r>
              <w:rPr>
                <w:rFonts w:ascii="仿宋" w:hAnsi="仿宋" w:eastAsia="仿宋"/>
                <w:sz w:val="24"/>
                <w:szCs w:val="24"/>
              </w:rPr>
              <w:t>60%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网格巡查</w:t>
            </w:r>
          </w:p>
        </w:tc>
        <w:tc>
          <w:tcPr>
            <w:tcW w:w="34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网格规范巡查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965" w:type="dxa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、统一着装（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分）。专、兼职网格员工作时间穿着网格员马甲，发现一次未穿着扣</w:t>
            </w:r>
            <w:r>
              <w:rPr>
                <w:rFonts w:ascii="仿宋" w:hAnsi="仿宋" w:eastAsia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、一日双巡（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分）。每天上午、下午在网格内各走访巡查一次，每少一次扣</w:t>
            </w:r>
            <w:r>
              <w:rPr>
                <w:rFonts w:ascii="仿宋" w:hAnsi="仿宋" w:eastAsia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分，时间不足每次扣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。因特殊情况未能履行一日双巡的，经认定不扣分。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、巡查日志（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分）。该项村网格长、兼职网格员和社区专职网格员实行分类考核。村网格长、专职网格员每次巡查情况录入网格化信息系统，每少一次扣</w:t>
            </w:r>
            <w:r>
              <w:rPr>
                <w:rFonts w:ascii="仿宋" w:hAnsi="仿宋" w:eastAsia="仿宋"/>
                <w:sz w:val="24"/>
                <w:szCs w:val="24"/>
              </w:rPr>
              <w:t>0.2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分。兼职网格员每天上午</w:t>
            </w:r>
            <w:r>
              <w:rPr>
                <w:rFonts w:ascii="仿宋" w:hAnsi="仿宋" w:eastAsia="仿宋"/>
                <w:sz w:val="24"/>
                <w:szCs w:val="24"/>
              </w:rPr>
              <w:t>9:00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前到村部签到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次，每天下午</w:t>
            </w:r>
            <w:r>
              <w:rPr>
                <w:rFonts w:ascii="仿宋" w:hAnsi="仿宋" w:eastAsia="仿宋"/>
                <w:sz w:val="24"/>
                <w:szCs w:val="24"/>
              </w:rPr>
              <w:t>5:00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前将当日巡查情况报网格长。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落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</w:t>
            </w:r>
          </w:p>
        </w:tc>
        <w:tc>
          <w:tcPr>
            <w:tcW w:w="34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平安建设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965" w:type="dxa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、矛盾纠纷排查和社情民意收集。全面排查网格内的矛盾纠纷，收集社情民意，迟报一次扣</w:t>
            </w:r>
            <w:r>
              <w:rPr>
                <w:rFonts w:ascii="仿宋" w:hAnsi="仿宋" w:eastAsia="仿宋"/>
                <w:sz w:val="24"/>
                <w:szCs w:val="24"/>
              </w:rPr>
              <w:t>0.1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分，漏报一次扣</w:t>
            </w:r>
            <w:r>
              <w:rPr>
                <w:rFonts w:ascii="仿宋" w:hAnsi="仿宋" w:eastAsia="仿宋"/>
                <w:sz w:val="24"/>
                <w:szCs w:val="24"/>
              </w:rPr>
              <w:t>0.2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分，瞒报一次扣</w:t>
            </w:r>
            <w:r>
              <w:rPr>
                <w:rFonts w:ascii="仿宋" w:hAnsi="仿宋" w:eastAsia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、重点人员管控。每月对网格内重点人员进行走访，并附走访照片和记录。发现一条不合格的服务记录（虚假照片、乱定位）扣</w:t>
            </w:r>
            <w:r>
              <w:rPr>
                <w:rFonts w:ascii="仿宋" w:hAnsi="仿宋" w:eastAsia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分，扣完为止。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、发生刑事案件的，同比去年同期增加一起扣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隐患排查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965" w:type="dxa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针对网格内安全生产、消防工作、市场监管、环境保护、城市管理进行摸排上报，发生瞒报漏报的，每次扣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分，情节严重、造成不良后果的扣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信息化建设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965" w:type="dxa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信息系统中交办给网格的事件要在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小时内受理，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天内办结，疑难复杂问题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天内完成，未处置的，每一起扣</w:t>
            </w:r>
            <w:r>
              <w:rPr>
                <w:rFonts w:ascii="仿宋" w:hAnsi="仿宋" w:eastAsia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分，受理后未在规定时间提出办理意见或反馈办结结果的，每一起扣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  <w:r>
              <w:rPr>
                <w:rFonts w:ascii="仿宋" w:eastAsia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加减分及一票否决</w:t>
            </w:r>
          </w:p>
        </w:tc>
        <w:tc>
          <w:tcPr>
            <w:tcW w:w="7965" w:type="dxa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加分项目：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、相关工作经验被中央和省、市以会议或文件的形式总结推广的分别加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分、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分、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、发现并提供线索，对社会维稳、侦查破案有重大作用的，每起案件（事件）加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分；参与“平安前哨”工程建设工作，形成经验做法，并被县级以上推广的分别加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分、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分、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减分项目：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迟到或早退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次各扣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分；旷工每半天扣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分；病假每月超过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天（不含）以上，每超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天扣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分；事假每月超过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天（不含）以上，每超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天扣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分；外勤经村书记、主任批准后不扣分，未经同意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次扣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分；临时请假每月超过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次（不含）以上，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次扣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一票否决：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网格内发生重点人员漏管失控、民转刑案件、连续侵财案件、违法犯罪活动聚集场所、公共安全事故等五类事件；泄露网格化系统保密资料的；上报虚假信息造成影响的；散布不当言论的；迟报、漏报、瞒报综治信息造成严重后果的；绩效评定</w:t>
            </w:r>
            <w:r>
              <w:rPr>
                <w:rFonts w:ascii="仿宋" w:hAnsi="仿宋" w:eastAsia="仿宋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分以下的。</w:t>
            </w:r>
          </w:p>
        </w:tc>
      </w:tr>
    </w:tbl>
    <w:p>
      <w:pPr>
        <w:spacing w:line="560" w:lineRule="exact"/>
        <w:ind w:right="640"/>
        <w:rPr>
          <w:rFonts w:ascii="仿宋" w:hAnsi="仿宋" w:eastAsia="仿宋"/>
          <w:sz w:val="44"/>
          <w:szCs w:val="44"/>
        </w:rPr>
      </w:pPr>
    </w:p>
    <w:p>
      <w:pPr>
        <w:spacing w:line="560" w:lineRule="exact"/>
        <w:ind w:right="640"/>
        <w:rPr>
          <w:rFonts w:ascii="仿宋" w:hAnsi="仿宋" w:eastAsia="仿宋"/>
          <w:sz w:val="44"/>
          <w:szCs w:val="44"/>
        </w:rPr>
      </w:pPr>
    </w:p>
    <w:p>
      <w:pPr>
        <w:spacing w:line="560" w:lineRule="exact"/>
        <w:ind w:right="640"/>
        <w:rPr>
          <w:rFonts w:ascii="仿宋" w:hAnsi="仿宋" w:eastAsia="仿宋"/>
          <w:sz w:val="44"/>
          <w:szCs w:val="44"/>
        </w:rPr>
        <w:sectPr>
          <w:pgSz w:w="16838" w:h="11906" w:orient="landscape"/>
          <w:pgMar w:top="1803" w:right="1440" w:bottom="1803" w:left="1440" w:header="851" w:footer="992" w:gutter="0"/>
          <w:paperSrc/>
          <w:pgNumType w:fmt="numberInDash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ind w:right="640"/>
        <w:rPr>
          <w:rFonts w:ascii="仿宋" w:hAnsi="仿宋" w:eastAsia="仿宋"/>
          <w:sz w:val="44"/>
          <w:szCs w:val="44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topLinePunct/>
        <w:snapToGrid w:val="0"/>
        <w:spacing w:line="590" w:lineRule="exact"/>
        <w:rPr>
          <w:rFonts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377825</wp:posOffset>
                </wp:positionV>
                <wp:extent cx="5514975" cy="0"/>
                <wp:effectExtent l="0" t="0" r="28575" b="1905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85pt;margin-top:29.75pt;height:0pt;width:434.25pt;mso-position-horizontal-relative:margin;z-index:251660288;mso-width-relative:page;mso-height-relative:page;" filled="f" stroked="t" coordsize="21600,21600" o:gfxdata="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665Z10wAAAAcBAAAP&#10;AAAAAAAAAAEAIAAAACIAAABkcnMvZG93bnJldi54bWxQSwECFAAUAAAACACHTuJARG633+QBAACr&#10;AwAADgAAAAAAAAABACAAAAAi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topLinePunct/>
        <w:snapToGrid w:val="0"/>
        <w:spacing w:line="590" w:lineRule="exac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426085</wp:posOffset>
                </wp:positionV>
                <wp:extent cx="5514975" cy="0"/>
                <wp:effectExtent l="0" t="0" r="28575" b="1905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.85pt;margin-top:33.55pt;height:0pt;width:434.25pt;z-index:251661312;mso-width-relative:page;mso-height-relative:page;" filled="f" stroked="t" coordsize="21600,21600" o:gfxdata="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qTE49MAAAAHAQAA&#10;DwAAAAAAAAABACAAAAAiAAAAZHJzL2Rvd25yZXYueG1sUEsBAhQAFAAAAAgAh07iQKEqahTlAQAA&#10;qwMAAA4AAAAAAAAAAQAgAAAAIg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如东县洋口镇党政办公室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spacing w:line="560" w:lineRule="exact"/>
        <w:ind w:right="640"/>
        <w:rPr>
          <w:rFonts w:hint="eastAsia" w:ascii="仿宋" w:hAnsi="仿宋" w:eastAsia="仿宋"/>
          <w:sz w:val="44"/>
          <w:szCs w:val="44"/>
        </w:rPr>
      </w:pPr>
    </w:p>
    <w:sectPr>
      <w:pgSz w:w="11906" w:h="16838"/>
      <w:pgMar w:top="1440" w:right="1803" w:bottom="1440" w:left="1803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MDM1YTQxOWM0YmUyNTgwZmUwZTJmMWQ5YmE4NjgifQ=="/>
  </w:docVars>
  <w:rsids>
    <w:rsidRoot w:val="00244636"/>
    <w:rsid w:val="000105EB"/>
    <w:rsid w:val="00015F50"/>
    <w:rsid w:val="00016885"/>
    <w:rsid w:val="000169F9"/>
    <w:rsid w:val="00085AE1"/>
    <w:rsid w:val="00095E2C"/>
    <w:rsid w:val="000B6E29"/>
    <w:rsid w:val="000E3486"/>
    <w:rsid w:val="000F403E"/>
    <w:rsid w:val="000F441C"/>
    <w:rsid w:val="000F7F65"/>
    <w:rsid w:val="00137759"/>
    <w:rsid w:val="00142364"/>
    <w:rsid w:val="00171D92"/>
    <w:rsid w:val="00187851"/>
    <w:rsid w:val="00194724"/>
    <w:rsid w:val="001B07EA"/>
    <w:rsid w:val="001B54A1"/>
    <w:rsid w:val="001B7F09"/>
    <w:rsid w:val="001C1ECC"/>
    <w:rsid w:val="001E3BA0"/>
    <w:rsid w:val="00226640"/>
    <w:rsid w:val="002352F5"/>
    <w:rsid w:val="00244636"/>
    <w:rsid w:val="002501B7"/>
    <w:rsid w:val="00260A12"/>
    <w:rsid w:val="00265DBD"/>
    <w:rsid w:val="0029203D"/>
    <w:rsid w:val="0029771E"/>
    <w:rsid w:val="002B58C4"/>
    <w:rsid w:val="002D14A1"/>
    <w:rsid w:val="002E7196"/>
    <w:rsid w:val="00303FFD"/>
    <w:rsid w:val="00304E15"/>
    <w:rsid w:val="00364314"/>
    <w:rsid w:val="003A599E"/>
    <w:rsid w:val="003E50E0"/>
    <w:rsid w:val="00412DFF"/>
    <w:rsid w:val="00417643"/>
    <w:rsid w:val="0042151B"/>
    <w:rsid w:val="004267BB"/>
    <w:rsid w:val="004604DD"/>
    <w:rsid w:val="00462382"/>
    <w:rsid w:val="00466731"/>
    <w:rsid w:val="004679DE"/>
    <w:rsid w:val="00496888"/>
    <w:rsid w:val="004A733F"/>
    <w:rsid w:val="004B6B41"/>
    <w:rsid w:val="004F3245"/>
    <w:rsid w:val="004F6AED"/>
    <w:rsid w:val="00501662"/>
    <w:rsid w:val="005030B1"/>
    <w:rsid w:val="0051768F"/>
    <w:rsid w:val="00520E30"/>
    <w:rsid w:val="00526045"/>
    <w:rsid w:val="00534710"/>
    <w:rsid w:val="00547D50"/>
    <w:rsid w:val="005705DF"/>
    <w:rsid w:val="005728D7"/>
    <w:rsid w:val="005828F6"/>
    <w:rsid w:val="00587DDD"/>
    <w:rsid w:val="005B1E64"/>
    <w:rsid w:val="005B4691"/>
    <w:rsid w:val="005B7790"/>
    <w:rsid w:val="005C2472"/>
    <w:rsid w:val="005C2979"/>
    <w:rsid w:val="005C2993"/>
    <w:rsid w:val="005D3085"/>
    <w:rsid w:val="005E28BC"/>
    <w:rsid w:val="00616318"/>
    <w:rsid w:val="00621865"/>
    <w:rsid w:val="00625A48"/>
    <w:rsid w:val="00645C41"/>
    <w:rsid w:val="0065098C"/>
    <w:rsid w:val="006569CC"/>
    <w:rsid w:val="00667F00"/>
    <w:rsid w:val="006772FE"/>
    <w:rsid w:val="006A1097"/>
    <w:rsid w:val="006A7F03"/>
    <w:rsid w:val="006B4098"/>
    <w:rsid w:val="006C725E"/>
    <w:rsid w:val="006F5155"/>
    <w:rsid w:val="006F7614"/>
    <w:rsid w:val="00702982"/>
    <w:rsid w:val="00736512"/>
    <w:rsid w:val="007438F2"/>
    <w:rsid w:val="007477C1"/>
    <w:rsid w:val="007557CB"/>
    <w:rsid w:val="00781401"/>
    <w:rsid w:val="007823BA"/>
    <w:rsid w:val="007832FA"/>
    <w:rsid w:val="00784A5D"/>
    <w:rsid w:val="007A22D1"/>
    <w:rsid w:val="007C3BED"/>
    <w:rsid w:val="007C452A"/>
    <w:rsid w:val="007C6AED"/>
    <w:rsid w:val="007D74E3"/>
    <w:rsid w:val="007F0557"/>
    <w:rsid w:val="007F3D65"/>
    <w:rsid w:val="00842D54"/>
    <w:rsid w:val="00847E3A"/>
    <w:rsid w:val="00874A36"/>
    <w:rsid w:val="008D13AA"/>
    <w:rsid w:val="008D19EB"/>
    <w:rsid w:val="00923722"/>
    <w:rsid w:val="00957F62"/>
    <w:rsid w:val="00973507"/>
    <w:rsid w:val="009850EE"/>
    <w:rsid w:val="009A6B1F"/>
    <w:rsid w:val="009B0760"/>
    <w:rsid w:val="009B4199"/>
    <w:rsid w:val="009C3166"/>
    <w:rsid w:val="009F4CB2"/>
    <w:rsid w:val="009F7EA8"/>
    <w:rsid w:val="00A022B0"/>
    <w:rsid w:val="00A13094"/>
    <w:rsid w:val="00A3497F"/>
    <w:rsid w:val="00A415FA"/>
    <w:rsid w:val="00A51087"/>
    <w:rsid w:val="00A71334"/>
    <w:rsid w:val="00A837C4"/>
    <w:rsid w:val="00A92F95"/>
    <w:rsid w:val="00AD2996"/>
    <w:rsid w:val="00AD3515"/>
    <w:rsid w:val="00AD493B"/>
    <w:rsid w:val="00AF2515"/>
    <w:rsid w:val="00B22591"/>
    <w:rsid w:val="00B30F78"/>
    <w:rsid w:val="00B47E0F"/>
    <w:rsid w:val="00B71935"/>
    <w:rsid w:val="00BA1918"/>
    <w:rsid w:val="00BD5E7D"/>
    <w:rsid w:val="00BF550D"/>
    <w:rsid w:val="00C02223"/>
    <w:rsid w:val="00C07FC2"/>
    <w:rsid w:val="00C161EA"/>
    <w:rsid w:val="00C406BF"/>
    <w:rsid w:val="00C50B31"/>
    <w:rsid w:val="00C964B4"/>
    <w:rsid w:val="00CA3356"/>
    <w:rsid w:val="00CB0C28"/>
    <w:rsid w:val="00CD376A"/>
    <w:rsid w:val="00CD3A7D"/>
    <w:rsid w:val="00CF1CBF"/>
    <w:rsid w:val="00D1641E"/>
    <w:rsid w:val="00D47C95"/>
    <w:rsid w:val="00D523DF"/>
    <w:rsid w:val="00D655F6"/>
    <w:rsid w:val="00D701C1"/>
    <w:rsid w:val="00DC7479"/>
    <w:rsid w:val="00DD2CD0"/>
    <w:rsid w:val="00DE06BF"/>
    <w:rsid w:val="00DE5FB0"/>
    <w:rsid w:val="00E10B00"/>
    <w:rsid w:val="00E15BB4"/>
    <w:rsid w:val="00E33C13"/>
    <w:rsid w:val="00E34DF0"/>
    <w:rsid w:val="00E3728D"/>
    <w:rsid w:val="00E44F27"/>
    <w:rsid w:val="00E87289"/>
    <w:rsid w:val="00EC2BA2"/>
    <w:rsid w:val="00EE5593"/>
    <w:rsid w:val="00F378EA"/>
    <w:rsid w:val="00F60E51"/>
    <w:rsid w:val="00F6207D"/>
    <w:rsid w:val="00F83512"/>
    <w:rsid w:val="00F8440D"/>
    <w:rsid w:val="00F845CE"/>
    <w:rsid w:val="00F87798"/>
    <w:rsid w:val="00F90C0A"/>
    <w:rsid w:val="00FA51F9"/>
    <w:rsid w:val="00FA6574"/>
    <w:rsid w:val="00FA7F65"/>
    <w:rsid w:val="068B1D34"/>
    <w:rsid w:val="07826C04"/>
    <w:rsid w:val="10075C80"/>
    <w:rsid w:val="106641BF"/>
    <w:rsid w:val="11266073"/>
    <w:rsid w:val="13566FB5"/>
    <w:rsid w:val="1A04090B"/>
    <w:rsid w:val="1E75606E"/>
    <w:rsid w:val="23D7052F"/>
    <w:rsid w:val="29C82DE5"/>
    <w:rsid w:val="2B4F7A35"/>
    <w:rsid w:val="3C3D1FA3"/>
    <w:rsid w:val="40FD4FCF"/>
    <w:rsid w:val="43F550AD"/>
    <w:rsid w:val="47B44898"/>
    <w:rsid w:val="48474B91"/>
    <w:rsid w:val="4A2C5098"/>
    <w:rsid w:val="4CA36791"/>
    <w:rsid w:val="4D261C77"/>
    <w:rsid w:val="59EC7D2A"/>
    <w:rsid w:val="5AE86FF1"/>
    <w:rsid w:val="5C825103"/>
    <w:rsid w:val="60E24DD7"/>
    <w:rsid w:val="62377FCC"/>
    <w:rsid w:val="64B56C22"/>
    <w:rsid w:val="6B8B4D44"/>
    <w:rsid w:val="6DA43396"/>
    <w:rsid w:val="704334CB"/>
    <w:rsid w:val="77F745E4"/>
    <w:rsid w:val="79460BEE"/>
    <w:rsid w:val="7DBD22BD"/>
    <w:rsid w:val="7E463F19"/>
    <w:rsid w:val="7F9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3">
    <w:name w:val="Body Text Indent"/>
    <w:basedOn w:val="1"/>
    <w:link w:val="18"/>
    <w:semiHidden/>
    <w:unhideWhenUsed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9"/>
    <w:semiHidden/>
    <w:unhideWhenUsed/>
    <w:uiPriority w:val="99"/>
    <w:pPr>
      <w:ind w:firstLine="420" w:firstLineChars="200"/>
    </w:p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customStyle="1" w:styleId="12">
    <w:name w:val="日期 Char"/>
    <w:basedOn w:val="10"/>
    <w:link w:val="4"/>
    <w:semiHidden/>
    <w:locked/>
    <w:uiPriority w:val="99"/>
    <w:rPr>
      <w:rFonts w:cs="Times New Roman"/>
    </w:rPr>
  </w:style>
  <w:style w:type="character" w:customStyle="1" w:styleId="13">
    <w:name w:val="页脚 Char"/>
    <w:basedOn w:val="10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locked/>
    <w:uiPriority w:val="99"/>
    <w:rPr>
      <w:rFonts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Char1"/>
    <w:basedOn w:val="1"/>
    <w:uiPriority w:val="99"/>
    <w:pPr>
      <w:spacing w:line="240" w:lineRule="exact"/>
    </w:pPr>
    <w:rPr>
      <w:rFonts w:ascii="仿宋_GB2312" w:hAnsi="宋体" w:eastAsia="仿宋_GB2312"/>
      <w:szCs w:val="21"/>
    </w:rPr>
  </w:style>
  <w:style w:type="character" w:customStyle="1" w:styleId="17">
    <w:name w:val="正文文本 Char"/>
    <w:basedOn w:val="10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18">
    <w:name w:val="正文文本缩进 Char"/>
    <w:basedOn w:val="10"/>
    <w:link w:val="3"/>
    <w:semiHidden/>
    <w:uiPriority w:val="99"/>
  </w:style>
  <w:style w:type="character" w:customStyle="1" w:styleId="19">
    <w:name w:val="正文首行缩进 2 Char"/>
    <w:basedOn w:val="18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3362</Words>
  <Characters>3502</Characters>
  <Lines>26</Lines>
  <Paragraphs>7</Paragraphs>
  <TotalTime>8</TotalTime>
  <ScaleCrop>false</ScaleCrop>
  <LinksUpToDate>false</LinksUpToDate>
  <CharactersWithSpaces>3560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2022-05-16T08:47:00Z</dcterms:created>
  <dc:creator>super</dc:creator>
  <cp:lastModifiedBy>Jessica</cp:lastModifiedBy>
  <cp:lastPrinted>2022-05-16T08:45:00Z</cp:lastPrinted>
  <dcterms:modified xsi:type="dcterms:W3CDTF">2022-05-17T02:15:13Z</dcterms:modified>
  <dc:title>洋口镇网格化服务管理工作绩效考核办法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EEAB4C668DB9420B827C54048C9A94DF</vt:lpwstr>
  </property>
</Properties>
</file>