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CE" w:rsidRDefault="00586BCE" w:rsidP="00635DEF">
      <w:pPr>
        <w:spacing w:line="560" w:lineRule="exact"/>
        <w:jc w:val="center"/>
        <w:rPr>
          <w:rFonts w:ascii="仿宋_GB2312" w:eastAsia="仿宋_GB2312"/>
          <w:sz w:val="32"/>
          <w:szCs w:val="32"/>
        </w:rPr>
      </w:pPr>
      <w:bookmarkStart w:id="0" w:name="_GoBack"/>
    </w:p>
    <w:p w:rsidR="00586BCE" w:rsidRDefault="00586BCE" w:rsidP="00635DEF">
      <w:pPr>
        <w:spacing w:line="560" w:lineRule="exact"/>
        <w:jc w:val="center"/>
        <w:rPr>
          <w:rFonts w:ascii="仿宋_GB2312" w:eastAsia="仿宋_GB2312"/>
          <w:sz w:val="32"/>
          <w:szCs w:val="32"/>
        </w:rPr>
      </w:pPr>
    </w:p>
    <w:p w:rsidR="00586BCE" w:rsidRDefault="00586BCE" w:rsidP="00635DEF">
      <w:pPr>
        <w:spacing w:line="560" w:lineRule="exact"/>
        <w:jc w:val="center"/>
        <w:rPr>
          <w:rFonts w:ascii="仿宋_GB2312" w:eastAsia="仿宋_GB2312"/>
          <w:sz w:val="32"/>
          <w:szCs w:val="32"/>
        </w:rPr>
      </w:pPr>
    </w:p>
    <w:p w:rsidR="00635DEF" w:rsidRDefault="00635DEF" w:rsidP="00635DEF">
      <w:pPr>
        <w:spacing w:line="560" w:lineRule="exact"/>
        <w:jc w:val="center"/>
        <w:rPr>
          <w:rFonts w:ascii="仿宋_GB2312" w:eastAsia="仿宋_GB2312" w:hint="eastAsia"/>
          <w:sz w:val="32"/>
          <w:szCs w:val="32"/>
        </w:rPr>
      </w:pPr>
    </w:p>
    <w:p w:rsidR="00586BCE" w:rsidRDefault="00586BCE" w:rsidP="00635DEF">
      <w:pPr>
        <w:spacing w:line="560" w:lineRule="exact"/>
        <w:jc w:val="center"/>
        <w:rPr>
          <w:rFonts w:ascii="仿宋_GB2312" w:eastAsia="仿宋_GB2312"/>
          <w:sz w:val="32"/>
          <w:szCs w:val="32"/>
        </w:rPr>
      </w:pPr>
    </w:p>
    <w:p w:rsidR="00586BCE" w:rsidRDefault="00586BCE" w:rsidP="00635DEF">
      <w:pPr>
        <w:spacing w:line="560" w:lineRule="exact"/>
        <w:jc w:val="center"/>
        <w:rPr>
          <w:rFonts w:ascii="仿宋_GB2312" w:eastAsia="仿宋_GB2312"/>
          <w:sz w:val="32"/>
          <w:szCs w:val="32"/>
        </w:rPr>
      </w:pPr>
    </w:p>
    <w:p w:rsidR="00635DEF" w:rsidRDefault="00635DEF" w:rsidP="00635DEF">
      <w:pPr>
        <w:spacing w:line="560" w:lineRule="exact"/>
        <w:jc w:val="center"/>
        <w:rPr>
          <w:rFonts w:ascii="仿宋_GB2312" w:eastAsia="仿宋_GB2312"/>
          <w:sz w:val="32"/>
          <w:szCs w:val="32"/>
        </w:rPr>
      </w:pPr>
    </w:p>
    <w:p w:rsidR="00635DEF" w:rsidRDefault="00635DEF" w:rsidP="00635DEF">
      <w:pPr>
        <w:spacing w:line="560" w:lineRule="exact"/>
        <w:jc w:val="center"/>
        <w:rPr>
          <w:rFonts w:ascii="仿宋_GB2312" w:eastAsia="仿宋_GB2312" w:hint="eastAsia"/>
          <w:sz w:val="32"/>
          <w:szCs w:val="32"/>
        </w:rPr>
      </w:pPr>
    </w:p>
    <w:p w:rsidR="00586BCE" w:rsidRDefault="002C31AB" w:rsidP="00635DEF">
      <w:pPr>
        <w:spacing w:line="560" w:lineRule="exact"/>
        <w:jc w:val="center"/>
        <w:rPr>
          <w:rFonts w:ascii="仿宋_GB2312" w:eastAsia="仿宋_GB2312"/>
          <w:sz w:val="32"/>
          <w:szCs w:val="32"/>
        </w:rPr>
      </w:pPr>
      <w:r>
        <w:rPr>
          <w:rFonts w:ascii="仿宋_GB2312" w:eastAsia="仿宋_GB2312" w:hint="eastAsia"/>
          <w:sz w:val="32"/>
          <w:szCs w:val="32"/>
        </w:rPr>
        <w:t>洋政发</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w:t>
      </w:r>
      <w:r w:rsidR="00635DEF">
        <w:rPr>
          <w:rFonts w:ascii="仿宋_GB2312" w:eastAsia="仿宋_GB2312"/>
          <w:sz w:val="32"/>
          <w:szCs w:val="32"/>
        </w:rPr>
        <w:t>48</w:t>
      </w:r>
      <w:r>
        <w:rPr>
          <w:rFonts w:ascii="仿宋_GB2312" w:eastAsia="仿宋_GB2312" w:hint="eastAsia"/>
          <w:sz w:val="32"/>
          <w:szCs w:val="32"/>
        </w:rPr>
        <w:t>号</w:t>
      </w:r>
    </w:p>
    <w:p w:rsidR="00586BCE" w:rsidRDefault="00586BCE" w:rsidP="00635DEF">
      <w:pPr>
        <w:spacing w:line="560" w:lineRule="exact"/>
        <w:jc w:val="center"/>
        <w:rPr>
          <w:rFonts w:ascii="仿宋_GB2312" w:eastAsia="仿宋_GB2312"/>
          <w:sz w:val="32"/>
          <w:szCs w:val="32"/>
        </w:rPr>
      </w:pPr>
    </w:p>
    <w:p w:rsidR="00586BCE" w:rsidRDefault="00586BCE" w:rsidP="00635DEF">
      <w:pPr>
        <w:spacing w:line="560" w:lineRule="exact"/>
        <w:jc w:val="center"/>
        <w:rPr>
          <w:rFonts w:ascii="仿宋_GB2312" w:eastAsia="仿宋_GB2312"/>
          <w:sz w:val="32"/>
          <w:szCs w:val="32"/>
        </w:rPr>
      </w:pPr>
    </w:p>
    <w:bookmarkEnd w:id="0"/>
    <w:p w:rsidR="00586BCE" w:rsidRDefault="002C31AB" w:rsidP="00635DEF">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如东县洋口镇</w:t>
      </w:r>
      <w:r w:rsidR="00635DEF">
        <w:rPr>
          <w:rFonts w:ascii="方正小标宋简体" w:eastAsia="方正小标宋简体" w:hint="eastAsia"/>
          <w:sz w:val="44"/>
          <w:szCs w:val="44"/>
        </w:rPr>
        <w:t>(</w:t>
      </w:r>
      <w:r>
        <w:rPr>
          <w:rFonts w:ascii="方正小标宋简体" w:eastAsia="方正小标宋简体" w:hint="eastAsia"/>
          <w:sz w:val="44"/>
          <w:szCs w:val="44"/>
        </w:rPr>
        <w:t>沿海经济开发区</w:t>
      </w:r>
      <w:r w:rsidR="00635DEF">
        <w:rPr>
          <w:rFonts w:ascii="方正小标宋简体" w:eastAsia="方正小标宋简体" w:hint="eastAsia"/>
          <w:sz w:val="44"/>
          <w:szCs w:val="44"/>
        </w:rPr>
        <w:t>)</w:t>
      </w:r>
    </w:p>
    <w:p w:rsidR="00586BCE" w:rsidRDefault="002C31AB" w:rsidP="00635DEF">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工业企业水污染治理工作方案</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586BCE" w:rsidRDefault="00586BCE">
      <w:pPr>
        <w:rPr>
          <w:rFonts w:ascii="仿宋_GB2312" w:eastAsia="仿宋_GB2312"/>
          <w:sz w:val="32"/>
          <w:szCs w:val="32"/>
        </w:rPr>
      </w:pPr>
    </w:p>
    <w:p w:rsidR="00586BCE" w:rsidRDefault="002C31AB" w:rsidP="00635DEF">
      <w:pPr>
        <w:spacing w:line="560" w:lineRule="exact"/>
        <w:rPr>
          <w:rFonts w:ascii="仿宋_GB2312" w:eastAsia="仿宋_GB2312"/>
          <w:sz w:val="32"/>
          <w:szCs w:val="32"/>
        </w:rPr>
      </w:pPr>
      <w:r>
        <w:rPr>
          <w:rFonts w:ascii="仿宋_GB2312" w:eastAsia="仿宋_GB2312" w:hint="eastAsia"/>
          <w:sz w:val="32"/>
          <w:szCs w:val="32"/>
        </w:rPr>
        <w:t>各企业：</w:t>
      </w:r>
    </w:p>
    <w:p w:rsidR="00586BCE" w:rsidRDefault="002C31AB" w:rsidP="00635DEF">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为全面提升</w:t>
      </w:r>
      <w:r>
        <w:rPr>
          <w:rFonts w:ascii="仿宋_GB2312" w:eastAsia="仿宋_GB2312" w:hint="eastAsia"/>
          <w:sz w:val="32"/>
          <w:szCs w:val="32"/>
        </w:rPr>
        <w:t>镇</w:t>
      </w:r>
      <w:r>
        <w:rPr>
          <w:rFonts w:ascii="仿宋_GB2312" w:eastAsia="仿宋_GB2312" w:hint="eastAsia"/>
          <w:sz w:val="32"/>
          <w:szCs w:val="32"/>
        </w:rPr>
        <w:t>域</w:t>
      </w:r>
      <w:r>
        <w:rPr>
          <w:rFonts w:ascii="仿宋_GB2312" w:eastAsia="仿宋_GB2312" w:hint="eastAsia"/>
          <w:sz w:val="32"/>
          <w:szCs w:val="32"/>
        </w:rPr>
        <w:t>水</w:t>
      </w:r>
      <w:r>
        <w:rPr>
          <w:rFonts w:ascii="仿宋_GB2312" w:eastAsia="仿宋_GB2312" w:hint="eastAsia"/>
          <w:sz w:val="32"/>
          <w:szCs w:val="32"/>
        </w:rPr>
        <w:t>环境质量，</w:t>
      </w:r>
      <w:r>
        <w:rPr>
          <w:rFonts w:ascii="仿宋_GB2312" w:eastAsia="仿宋_GB2312" w:hAnsi="仿宋" w:cs="仿宋" w:hint="eastAsia"/>
          <w:sz w:val="32"/>
          <w:szCs w:val="32"/>
        </w:rPr>
        <w:t>强化镇</w:t>
      </w:r>
      <w:r>
        <w:rPr>
          <w:rFonts w:ascii="仿宋_GB2312" w:eastAsia="仿宋_GB2312" w:hAnsi="仿宋" w:cs="仿宋" w:hint="eastAsia"/>
          <w:sz w:val="32"/>
          <w:szCs w:val="32"/>
        </w:rPr>
        <w:t>（区）工业废水高效治理与规划管控</w:t>
      </w:r>
      <w:r>
        <w:rPr>
          <w:rFonts w:ascii="仿宋_GB2312" w:eastAsia="仿宋_GB2312" w:hAnsi="仿宋" w:cs="仿宋" w:hint="eastAsia"/>
          <w:sz w:val="32"/>
          <w:szCs w:val="32"/>
        </w:rPr>
        <w:t>，</w:t>
      </w:r>
      <w:r>
        <w:rPr>
          <w:rFonts w:ascii="仿宋_GB2312" w:eastAsia="仿宋_GB2312" w:hint="eastAsia"/>
          <w:sz w:val="32"/>
          <w:szCs w:val="32"/>
        </w:rPr>
        <w:t>推动</w:t>
      </w:r>
      <w:r>
        <w:rPr>
          <w:rFonts w:ascii="仿宋_GB2312" w:eastAsia="仿宋_GB2312" w:hAnsi="仿宋" w:cs="仿宋" w:hint="eastAsia"/>
          <w:sz w:val="32"/>
          <w:szCs w:val="32"/>
        </w:rPr>
        <w:t>镇</w:t>
      </w:r>
      <w:r>
        <w:rPr>
          <w:rFonts w:ascii="仿宋_GB2312" w:eastAsia="仿宋_GB2312" w:hAnsi="仿宋" w:cs="仿宋" w:hint="eastAsia"/>
          <w:sz w:val="32"/>
          <w:szCs w:val="32"/>
        </w:rPr>
        <w:t>（区）</w:t>
      </w:r>
      <w:r>
        <w:rPr>
          <w:rFonts w:ascii="仿宋_GB2312" w:eastAsia="仿宋_GB2312" w:hint="eastAsia"/>
          <w:sz w:val="32"/>
          <w:szCs w:val="32"/>
        </w:rPr>
        <w:t>绿色、生态、可持续、高质量发展，经研究决定开展</w:t>
      </w:r>
      <w:r>
        <w:rPr>
          <w:rFonts w:ascii="仿宋_GB2312" w:eastAsia="仿宋_GB2312" w:hint="eastAsia"/>
          <w:sz w:val="32"/>
          <w:szCs w:val="32"/>
        </w:rPr>
        <w:t>洋口镇</w:t>
      </w:r>
      <w:r>
        <w:rPr>
          <w:rFonts w:ascii="仿宋_GB2312" w:eastAsia="仿宋_GB2312" w:hint="eastAsia"/>
          <w:sz w:val="32"/>
          <w:szCs w:val="32"/>
        </w:rPr>
        <w:t>（沿海经济开发区）工业企业水污染治理工作，现将方案印发给你们，请遵照执行。</w:t>
      </w:r>
    </w:p>
    <w:p w:rsidR="00586BCE" w:rsidRDefault="00586BCE" w:rsidP="00635DEF">
      <w:pPr>
        <w:spacing w:line="560" w:lineRule="exact"/>
        <w:ind w:firstLineChars="200" w:firstLine="640"/>
        <w:rPr>
          <w:rFonts w:ascii="仿宋_GB2312" w:eastAsia="仿宋_GB2312"/>
          <w:sz w:val="32"/>
          <w:szCs w:val="32"/>
        </w:rPr>
      </w:pPr>
    </w:p>
    <w:p w:rsidR="00586BCE" w:rsidRDefault="002C31AB" w:rsidP="00635DEF">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如东</w:t>
      </w:r>
      <w:r>
        <w:rPr>
          <w:rFonts w:ascii="仿宋_GB2312" w:eastAsia="仿宋_GB2312" w:hint="eastAsia"/>
          <w:sz w:val="32"/>
          <w:szCs w:val="32"/>
        </w:rPr>
        <w:t>县洋口镇人民政府</w:t>
      </w:r>
    </w:p>
    <w:p w:rsidR="00586BCE" w:rsidRDefault="002C31AB" w:rsidP="00635DEF">
      <w:pPr>
        <w:spacing w:line="560" w:lineRule="exact"/>
        <w:ind w:firstLineChars="1650" w:firstLine="528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w:t>
      </w:r>
    </w:p>
    <w:p w:rsidR="00586BCE" w:rsidRPr="00635DEF" w:rsidRDefault="002C31AB">
      <w:pPr>
        <w:widowControl/>
        <w:jc w:val="center"/>
        <w:rPr>
          <w:rFonts w:ascii="方正小标宋简体" w:eastAsia="方正小标宋简体" w:hAnsi="方正小标宋_GBK" w:cs="方正小标宋_GBK" w:hint="eastAsia"/>
          <w:sz w:val="44"/>
          <w:szCs w:val="44"/>
        </w:rPr>
      </w:pPr>
      <w:r w:rsidRPr="00635DEF">
        <w:rPr>
          <w:rFonts w:ascii="方正小标宋简体" w:eastAsia="方正小标宋简体" w:hAnsi="方正小标宋_GBK" w:cs="方正小标宋_GBK" w:hint="eastAsia"/>
          <w:sz w:val="44"/>
          <w:szCs w:val="44"/>
        </w:rPr>
        <w:lastRenderedPageBreak/>
        <w:t>如东县洋口镇（沿海经济开发区）</w:t>
      </w:r>
    </w:p>
    <w:p w:rsidR="00586BCE" w:rsidRPr="00635DEF" w:rsidRDefault="002C31AB">
      <w:pPr>
        <w:widowControl/>
        <w:jc w:val="center"/>
        <w:rPr>
          <w:rFonts w:ascii="方正小标宋简体" w:eastAsia="方正小标宋简体" w:hAnsi="方正小标宋_GBK" w:cs="方正小标宋_GBK" w:hint="eastAsia"/>
          <w:sz w:val="44"/>
          <w:szCs w:val="44"/>
        </w:rPr>
      </w:pPr>
      <w:r w:rsidRPr="00635DEF">
        <w:rPr>
          <w:rFonts w:ascii="方正小标宋简体" w:eastAsia="方正小标宋简体" w:hAnsi="方正小标宋_GBK" w:cs="方正小标宋_GBK" w:hint="eastAsia"/>
          <w:sz w:val="44"/>
          <w:szCs w:val="44"/>
        </w:rPr>
        <w:t>工业企业水污染治理工作方案</w:t>
      </w:r>
    </w:p>
    <w:p w:rsidR="00586BCE" w:rsidRDefault="00586BCE">
      <w:pPr>
        <w:jc w:val="center"/>
        <w:rPr>
          <w:rFonts w:ascii="Times New Roman" w:eastAsia="方正仿宋_GBK" w:hAnsi="Times New Roman" w:cs="Times New Roman"/>
          <w:sz w:val="32"/>
          <w:szCs w:val="32"/>
        </w:rPr>
      </w:pP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贯彻落实《中华人民共和国水污染防治法》，进一步提升镇（区）水环境管理水平，加强镇（区）工业废水高效治理与规划管控，促进环境风险防范和环境监管执法水平提升，全面提升镇域内河水质，结合镇（区）实际，制定本方案。</w:t>
      </w:r>
    </w:p>
    <w:p w:rsidR="00586BCE" w:rsidRDefault="002C31AB">
      <w:pPr>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到</w:t>
      </w:r>
      <w:r>
        <w:rPr>
          <w:rFonts w:ascii="仿宋_GB2312" w:eastAsia="仿宋_GB2312" w:hAnsi="仿宋" w:cs="仿宋" w:hint="eastAsia"/>
          <w:sz w:val="32"/>
          <w:szCs w:val="32"/>
        </w:rPr>
        <w:t>2021</w:t>
      </w:r>
      <w:r>
        <w:rPr>
          <w:rFonts w:ascii="仿宋_GB2312" w:eastAsia="仿宋_GB2312" w:hAnsi="仿宋" w:cs="仿宋" w:hint="eastAsia"/>
          <w:sz w:val="32"/>
          <w:szCs w:val="32"/>
        </w:rPr>
        <w:t>年底，镇（区）产生废水企业水污染治理设施全面实现提档升级并规范运行，废水处理水平大幅提升，实现排污企业达标纳管，园区污水处理</w:t>
      </w:r>
      <w:proofErr w:type="gramStart"/>
      <w:r>
        <w:rPr>
          <w:rFonts w:ascii="仿宋_GB2312" w:eastAsia="仿宋_GB2312" w:hAnsi="仿宋" w:cs="仿宋" w:hint="eastAsia"/>
          <w:sz w:val="32"/>
          <w:szCs w:val="32"/>
        </w:rPr>
        <w:t>厂稳定</w:t>
      </w:r>
      <w:proofErr w:type="gramEnd"/>
      <w:r>
        <w:rPr>
          <w:rFonts w:ascii="仿宋_GB2312" w:eastAsia="仿宋_GB2312" w:hAnsi="仿宋" w:cs="仿宋" w:hint="eastAsia"/>
          <w:sz w:val="32"/>
          <w:szCs w:val="32"/>
        </w:rPr>
        <w:t>达标排放；进一步完善园区污水、雨水在线监控、企业清污分流、雨污分流，充分发挥园企业雨水实时在线监测和泵阀联动管理作用；通过园区河道整治实现内河水质水</w:t>
      </w:r>
      <w:r>
        <w:rPr>
          <w:rFonts w:ascii="仿宋_GB2312" w:eastAsia="仿宋_GB2312" w:hAnsi="仿宋" w:cs="仿宋" w:hint="eastAsia"/>
          <w:sz w:val="32"/>
          <w:szCs w:val="32"/>
        </w:rPr>
        <w:t>环境质量明显改善并持续提升，水环境风险得到基本管控；开展企业及园区水平衡核查，完善特征污染物常态化监测和监管制度，园区水环境监管水平大幅提升。</w:t>
      </w:r>
    </w:p>
    <w:p w:rsidR="00586BCE" w:rsidRDefault="002C31AB">
      <w:pPr>
        <w:ind w:firstLineChars="200" w:firstLine="640"/>
        <w:rPr>
          <w:rFonts w:ascii="黑体" w:eastAsia="黑体" w:hAnsi="黑体" w:cs="黑体"/>
          <w:sz w:val="32"/>
          <w:szCs w:val="32"/>
        </w:rPr>
      </w:pPr>
      <w:r>
        <w:rPr>
          <w:rFonts w:ascii="黑体" w:eastAsia="黑体" w:hAnsi="黑体" w:cs="黑体" w:hint="eastAsia"/>
          <w:sz w:val="32"/>
          <w:szCs w:val="32"/>
        </w:rPr>
        <w:t>二、主要任务</w:t>
      </w:r>
    </w:p>
    <w:p w:rsidR="00586BCE" w:rsidRPr="00635DEF" w:rsidRDefault="002C31AB">
      <w:pPr>
        <w:ind w:firstLineChars="200" w:firstLine="643"/>
        <w:rPr>
          <w:rFonts w:ascii="楷体_GB2312" w:eastAsia="楷体_GB2312" w:hAnsi="仿宋" w:cs="仿宋" w:hint="eastAsia"/>
          <w:b/>
          <w:sz w:val="32"/>
          <w:szCs w:val="32"/>
        </w:rPr>
      </w:pPr>
      <w:r w:rsidRPr="00635DEF">
        <w:rPr>
          <w:rFonts w:ascii="楷体_GB2312" w:eastAsia="楷体_GB2312" w:hAnsi="仿宋" w:cs="仿宋" w:hint="eastAsia"/>
          <w:b/>
          <w:sz w:val="32"/>
          <w:szCs w:val="32"/>
        </w:rPr>
        <w:t>（一）加强镇（区）工业废水全过程管控</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镇（区）生态环境部门要督促企业完善管网建设，</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lastRenderedPageBreak/>
        <w:t>底前，所有化工企业必须完成雨污分流、清污分流改造，清下水排口必须安装在线监测系统和由监管部门控制的自动排放阀，依托视频监控、在线监控、电磁阀门科技手段开展企业和园区雨、污水排放全方面监管，彻底实现企业雨污分流，全面提升园区水环境质量。督促企业对特征污染物实行分类</w:t>
      </w:r>
      <w:r>
        <w:rPr>
          <w:rFonts w:ascii="仿宋_GB2312" w:eastAsia="仿宋_GB2312" w:hAnsi="仿宋" w:cs="仿宋" w:hint="eastAsia"/>
          <w:sz w:val="32"/>
          <w:szCs w:val="32"/>
        </w:rPr>
        <w:t>收集和处理，实行主要污染物和特征污染物的协同处理，废水预处理后应达到集中处理设施工艺要求方可接管，不得稀释排放。区外企业需建设或完善厂区管网和水污染防治设施，确保雨污分流，废水达标排放。</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（二）实施企业水平衡和废水治理设施评估工作</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通过公开招标第三方评估机构，实施企业水平衡和废水治理设施评估工作，全面核查园区工业用水和排放废水之间的“水平衡”关系，对园区取用水是否存在问题进行评估；全面核查企业污水处理设施污水收集和废水排放之间的“水平衡”情况，对其是否正常运行进行评估；全面核查排污企业工业用水、排放废水和清</w:t>
      </w:r>
      <w:r>
        <w:rPr>
          <w:rFonts w:ascii="仿宋_GB2312" w:eastAsia="仿宋_GB2312" w:hAnsi="仿宋" w:cs="仿宋" w:hint="eastAsia"/>
          <w:sz w:val="32"/>
          <w:szCs w:val="32"/>
        </w:rPr>
        <w:t>下水之间的“水平衡”关系，排查企业是否存在偷排直排等问题。</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（三）更新完善园区企业废水特征污染物名录库</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根据省化工等行业企业废水特征污染物名录库筛选确认指南，在原有企业废水特征污染物名录库基础上，根据企业风险</w:t>
      </w:r>
      <w:r>
        <w:rPr>
          <w:rFonts w:ascii="仿宋_GB2312" w:eastAsia="仿宋_GB2312" w:hAnsi="仿宋" w:cs="仿宋" w:hint="eastAsia"/>
          <w:sz w:val="32"/>
          <w:szCs w:val="32"/>
        </w:rPr>
        <w:lastRenderedPageBreak/>
        <w:t>源及排放源的变化情况，及时进行动态更新，加快推进企业排放废水追溯能力建设，为管理提供依据。</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（四）制定并完善园区废水接管限值</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园区集中式污水处理厂应依据《</w:t>
      </w:r>
      <w:r>
        <w:rPr>
          <w:rFonts w:ascii="仿宋_GB2312" w:eastAsia="仿宋_GB2312" w:hAnsi="仿宋" w:cs="仿宋" w:hint="eastAsia"/>
          <w:sz w:val="32"/>
          <w:szCs w:val="32"/>
        </w:rPr>
        <w:t xml:space="preserve">GB/T 31962-2015 </w:t>
      </w:r>
      <w:r>
        <w:rPr>
          <w:rFonts w:ascii="仿宋_GB2312" w:eastAsia="仿宋_GB2312" w:hAnsi="仿宋" w:cs="仿宋" w:hint="eastAsia"/>
          <w:sz w:val="32"/>
          <w:szCs w:val="32"/>
        </w:rPr>
        <w:t>污水排入城镇下水道水质标准》（</w:t>
      </w:r>
      <w:r>
        <w:rPr>
          <w:rFonts w:ascii="仿宋_GB2312" w:eastAsia="仿宋_GB2312" w:hAnsi="仿宋" w:cs="仿宋" w:hint="eastAsia"/>
          <w:sz w:val="32"/>
          <w:szCs w:val="32"/>
        </w:rPr>
        <w:t>GB/T 31962-2015</w:t>
      </w:r>
      <w:r>
        <w:rPr>
          <w:rFonts w:ascii="仿宋_GB2312" w:eastAsia="仿宋_GB2312" w:hAnsi="仿宋" w:cs="仿宋" w:hint="eastAsia"/>
          <w:sz w:val="32"/>
          <w:szCs w:val="32"/>
        </w:rPr>
        <w:t>）、《化学工业主要污染物排放标准》（</w:t>
      </w:r>
      <w:r>
        <w:rPr>
          <w:rFonts w:ascii="仿宋_GB2312" w:eastAsia="仿宋_GB2312" w:hAnsi="仿宋" w:cs="仿宋" w:hint="eastAsia"/>
          <w:sz w:val="32"/>
          <w:szCs w:val="32"/>
        </w:rPr>
        <w:t>DB32/939-20</w:t>
      </w:r>
      <w:r>
        <w:rPr>
          <w:rFonts w:ascii="仿宋_GB2312" w:eastAsia="仿宋_GB2312" w:hAnsi="仿宋" w:cs="仿宋" w:hint="eastAsia"/>
          <w:sz w:val="32"/>
          <w:szCs w:val="32"/>
        </w:rPr>
        <w:t>06</w:t>
      </w:r>
      <w:r>
        <w:rPr>
          <w:rFonts w:ascii="仿宋_GB2312" w:eastAsia="仿宋_GB2312" w:hAnsi="仿宋" w:cs="仿宋" w:hint="eastAsia"/>
          <w:sz w:val="32"/>
          <w:szCs w:val="32"/>
        </w:rPr>
        <w:t>）及相关行业排放标准等，严格执行相关标准中</w:t>
      </w:r>
      <w:r>
        <w:rPr>
          <w:rFonts w:ascii="仿宋_GB2312" w:eastAsia="仿宋_GB2312" w:hAnsi="仿宋" w:cs="仿宋" w:hint="eastAsia"/>
          <w:sz w:val="32"/>
          <w:szCs w:val="32"/>
        </w:rPr>
        <w:t>"</w:t>
      </w:r>
      <w:r>
        <w:rPr>
          <w:rFonts w:ascii="仿宋_GB2312" w:eastAsia="仿宋_GB2312" w:hAnsi="仿宋" w:cs="仿宋" w:hint="eastAsia"/>
          <w:sz w:val="32"/>
          <w:szCs w:val="32"/>
        </w:rPr>
        <w:t>第一类污染物</w:t>
      </w:r>
      <w:r>
        <w:rPr>
          <w:rFonts w:ascii="仿宋_GB2312" w:eastAsia="仿宋_GB2312" w:hAnsi="仿宋" w:cs="仿宋" w:hint="eastAsia"/>
          <w:sz w:val="32"/>
          <w:szCs w:val="32"/>
        </w:rPr>
        <w:t>"</w:t>
      </w:r>
      <w:r>
        <w:rPr>
          <w:rFonts w:ascii="仿宋_GB2312" w:eastAsia="仿宋_GB2312" w:hAnsi="仿宋" w:cs="仿宋" w:hint="eastAsia"/>
          <w:sz w:val="32"/>
          <w:szCs w:val="32"/>
        </w:rPr>
        <w:t>和</w:t>
      </w:r>
      <w:r>
        <w:rPr>
          <w:rFonts w:ascii="仿宋_GB2312" w:eastAsia="仿宋_GB2312" w:hAnsi="仿宋" w:cs="仿宋" w:hint="eastAsia"/>
          <w:sz w:val="32"/>
          <w:szCs w:val="32"/>
        </w:rPr>
        <w:t>"</w:t>
      </w:r>
      <w:r>
        <w:rPr>
          <w:rFonts w:ascii="仿宋_GB2312" w:eastAsia="仿宋_GB2312" w:hAnsi="仿宋" w:cs="仿宋" w:hint="eastAsia"/>
          <w:sz w:val="32"/>
          <w:szCs w:val="32"/>
        </w:rPr>
        <w:t>有毒污染物</w:t>
      </w:r>
      <w:r>
        <w:rPr>
          <w:rFonts w:ascii="仿宋_GB2312" w:eastAsia="仿宋_GB2312" w:hAnsi="仿宋" w:cs="仿宋" w:hint="eastAsia"/>
          <w:sz w:val="32"/>
          <w:szCs w:val="32"/>
        </w:rPr>
        <w:t>"</w:t>
      </w:r>
      <w:r>
        <w:rPr>
          <w:rFonts w:ascii="仿宋_GB2312" w:eastAsia="仿宋_GB2312" w:hAnsi="仿宋" w:cs="仿宋" w:hint="eastAsia"/>
          <w:sz w:val="32"/>
          <w:szCs w:val="32"/>
        </w:rPr>
        <w:t>的接管排放限值；其他污染物的接管控制要求可根据自身污水处理能力与企业商定或执行相关标准。对列入特征污染物名录，但没有规定接管排放限值的污染物项目，由企业与园区污水处理厂根据其处理能力商定相关排放限值，确保接管废水</w:t>
      </w:r>
      <w:proofErr w:type="gramStart"/>
      <w:r>
        <w:rPr>
          <w:rFonts w:ascii="仿宋_GB2312" w:eastAsia="仿宋_GB2312" w:hAnsi="仿宋" w:cs="仿宋" w:hint="eastAsia"/>
          <w:sz w:val="32"/>
          <w:szCs w:val="32"/>
        </w:rPr>
        <w:t>中特征</w:t>
      </w:r>
      <w:proofErr w:type="gramEnd"/>
      <w:r>
        <w:rPr>
          <w:rFonts w:ascii="仿宋_GB2312" w:eastAsia="仿宋_GB2312" w:hAnsi="仿宋" w:cs="仿宋" w:hint="eastAsia"/>
          <w:sz w:val="32"/>
          <w:szCs w:val="32"/>
        </w:rPr>
        <w:t>污染物的有效削减。镇（区）生态环境部门要督促污水处理厂严控进水水质，防止特征污染物对污水处理厂生化系统的冲击及对尾水水质的影响。</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（五）强化园区集中式污水处理厂进水管理和达标排放的主体责任</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园区集中式污水处理厂要对进</w:t>
      </w:r>
      <w:r>
        <w:rPr>
          <w:rFonts w:ascii="仿宋_GB2312" w:eastAsia="仿宋_GB2312" w:hAnsi="仿宋" w:cs="仿宋" w:hint="eastAsia"/>
          <w:sz w:val="32"/>
          <w:szCs w:val="32"/>
        </w:rPr>
        <w:t>水水质进行甄别判断，控制水量，建立</w:t>
      </w:r>
      <w:r>
        <w:rPr>
          <w:rFonts w:ascii="仿宋_GB2312" w:eastAsia="仿宋_GB2312" w:hAnsi="仿宋" w:cs="仿宋" w:hint="eastAsia"/>
          <w:sz w:val="32"/>
          <w:szCs w:val="32"/>
        </w:rPr>
        <w:t>"</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企一档</w:t>
      </w:r>
      <w:r>
        <w:rPr>
          <w:rFonts w:ascii="仿宋_GB2312" w:eastAsia="仿宋_GB2312" w:hAnsi="仿宋" w:cs="仿宋" w:hint="eastAsia"/>
          <w:sz w:val="32"/>
          <w:szCs w:val="32"/>
        </w:rPr>
        <w:t>"</w:t>
      </w:r>
      <w:r>
        <w:rPr>
          <w:rFonts w:ascii="仿宋_GB2312" w:eastAsia="仿宋_GB2312" w:hAnsi="仿宋" w:cs="仿宋" w:hint="eastAsia"/>
          <w:sz w:val="32"/>
          <w:szCs w:val="32"/>
        </w:rPr>
        <w:t>台账，完善监测制度。对特征污染物的监测应根据《江苏省化工园区环境监控预警建设方案技术指南（试行）》（</w:t>
      </w:r>
      <w:proofErr w:type="gramStart"/>
      <w:r>
        <w:rPr>
          <w:rFonts w:ascii="仿宋_GB2312" w:eastAsia="仿宋_GB2312" w:hAnsi="仿宋" w:cs="仿宋" w:hint="eastAsia"/>
          <w:sz w:val="32"/>
          <w:szCs w:val="32"/>
        </w:rPr>
        <w:t>苏环办</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t>2016</w:t>
      </w:r>
      <w:r>
        <w:rPr>
          <w:rFonts w:ascii="仿宋_GB2312" w:eastAsia="仿宋_GB2312" w:hAnsi="仿宋" w:cs="仿宋" w:hint="eastAsia"/>
          <w:sz w:val="32"/>
          <w:szCs w:val="32"/>
        </w:rPr>
        <w:t>〕</w:t>
      </w:r>
      <w:r>
        <w:rPr>
          <w:rFonts w:ascii="仿宋_GB2312" w:eastAsia="仿宋_GB2312" w:hAnsi="仿宋" w:cs="仿宋" w:hint="eastAsia"/>
          <w:sz w:val="32"/>
          <w:szCs w:val="32"/>
        </w:rPr>
        <w:t>32</w:t>
      </w:r>
      <w:r>
        <w:rPr>
          <w:rFonts w:ascii="仿宋_GB2312" w:eastAsia="仿宋_GB2312" w:hAnsi="仿宋" w:cs="仿宋" w:hint="eastAsia"/>
          <w:sz w:val="32"/>
          <w:szCs w:val="32"/>
        </w:rPr>
        <w:t>号）要求，结合现有法律法规，制</w:t>
      </w:r>
      <w:r>
        <w:rPr>
          <w:rFonts w:ascii="仿宋_GB2312" w:eastAsia="仿宋_GB2312" w:hAnsi="仿宋" w:cs="仿宋" w:hint="eastAsia"/>
          <w:sz w:val="32"/>
          <w:szCs w:val="32"/>
        </w:rPr>
        <w:lastRenderedPageBreak/>
        <w:t>定监测方案并定期开展监测。污水处理厂要加强对治理设施规范运行的管理，生化处理系统应维持正常合理的污泥浓度和活性污泥，实现出水稳定达标。</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（六）创新园区工业水污染治理模式</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根据《关于完善长江经济带污水处理收费机制有关政策的指导意见》（</w:t>
      </w:r>
      <w:proofErr w:type="gramStart"/>
      <w:r>
        <w:rPr>
          <w:rFonts w:ascii="仿宋_GB2312" w:eastAsia="仿宋_GB2312" w:hAnsi="仿宋" w:cs="仿宋" w:hint="eastAsia"/>
          <w:sz w:val="32"/>
          <w:szCs w:val="32"/>
        </w:rPr>
        <w:t>发改价格</w:t>
      </w:r>
      <w:proofErr w:type="gramEnd"/>
      <w:r>
        <w:rPr>
          <w:rFonts w:ascii="仿宋_GB2312" w:eastAsia="仿宋_GB2312" w:hAnsi="仿宋" w:cs="仿宋" w:hint="eastAsia"/>
          <w:sz w:val="32"/>
          <w:szCs w:val="32"/>
        </w:rPr>
        <w:t>〔</w:t>
      </w:r>
      <w:r>
        <w:rPr>
          <w:rFonts w:ascii="仿宋_GB2312" w:eastAsia="仿宋_GB2312" w:hAnsi="仿宋" w:cs="仿宋" w:hint="eastAsia"/>
          <w:sz w:val="32"/>
          <w:szCs w:val="32"/>
        </w:rPr>
        <w:t>2020</w:t>
      </w:r>
      <w:r>
        <w:rPr>
          <w:rFonts w:ascii="仿宋_GB2312" w:eastAsia="仿宋_GB2312" w:hAnsi="仿宋" w:cs="仿宋" w:hint="eastAsia"/>
          <w:sz w:val="32"/>
          <w:szCs w:val="32"/>
        </w:rPr>
        <w:t>〕</w:t>
      </w:r>
      <w:r>
        <w:rPr>
          <w:rFonts w:ascii="仿宋_GB2312" w:eastAsia="仿宋_GB2312" w:hAnsi="仿宋" w:cs="仿宋" w:hint="eastAsia"/>
          <w:sz w:val="32"/>
          <w:szCs w:val="32"/>
        </w:rPr>
        <w:t>561</w:t>
      </w:r>
      <w:r>
        <w:rPr>
          <w:rFonts w:ascii="仿宋_GB2312" w:eastAsia="仿宋_GB2312" w:hAnsi="仿宋" w:cs="仿宋" w:hint="eastAsia"/>
          <w:sz w:val="32"/>
          <w:szCs w:val="32"/>
        </w:rPr>
        <w:t>号）关于工业园区要率先推行差别</w:t>
      </w:r>
      <w:proofErr w:type="gramStart"/>
      <w:r>
        <w:rPr>
          <w:rFonts w:ascii="仿宋_GB2312" w:eastAsia="仿宋_GB2312" w:hAnsi="仿宋" w:cs="仿宋" w:hint="eastAsia"/>
          <w:sz w:val="32"/>
          <w:szCs w:val="32"/>
        </w:rPr>
        <w:t>化收费</w:t>
      </w:r>
      <w:proofErr w:type="gramEnd"/>
      <w:r>
        <w:rPr>
          <w:rFonts w:ascii="仿宋_GB2312" w:eastAsia="仿宋_GB2312" w:hAnsi="仿宋" w:cs="仿宋" w:hint="eastAsia"/>
          <w:sz w:val="32"/>
          <w:szCs w:val="32"/>
        </w:rPr>
        <w:t>的政策要求，为提升园</w:t>
      </w:r>
      <w:r>
        <w:rPr>
          <w:rFonts w:ascii="仿宋_GB2312" w:eastAsia="仿宋_GB2312" w:hAnsi="仿宋" w:cs="仿宋" w:hint="eastAsia"/>
          <w:sz w:val="32"/>
          <w:szCs w:val="32"/>
        </w:rPr>
        <w:t>区污水处理厂的处理效果，实现其健康运营，如东深水环境科技有限公司拟开展纳管企业“</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企</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标一价”方案制定工作，制定并完善园区废水接管限值，通过标准限值制定加强化工园区废水的高效治理与规范管控，并建立分类分档制定差别化收费标准，进一步促进园区排污企业污水预处理和污染物减排，利用价格杠杆加强和改善水污染防治。</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（七）强化园区管理机构的环境管理责任</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全面排查废水污染源的违法行为，杜绝稀释、偷排和事故排放。加强园区及周边水环境的监测，不断改善水环境质量，防范园区水污染事故风险，提高应急处置能力。依法公开区域水环境质量</w:t>
      </w:r>
      <w:r>
        <w:rPr>
          <w:rFonts w:ascii="仿宋_GB2312" w:eastAsia="仿宋_GB2312" w:hAnsi="仿宋" w:cs="仿宋" w:hint="eastAsia"/>
          <w:sz w:val="32"/>
          <w:szCs w:val="32"/>
        </w:rPr>
        <w:t>状况、水环境综合整治情况、投诉信访情况、水环境污染事件等信息。推进数据动态更新，实现数据互联互通。镇（区）生态环境部门应对有关要求落实情况开展巡查，建立通报制度，</w:t>
      </w:r>
      <w:r>
        <w:rPr>
          <w:rFonts w:ascii="仿宋_GB2312" w:eastAsia="仿宋_GB2312" w:hAnsi="仿宋" w:cs="仿宋" w:hint="eastAsia"/>
          <w:sz w:val="32"/>
          <w:szCs w:val="32"/>
        </w:rPr>
        <w:lastRenderedPageBreak/>
        <w:t>督促企业整改提升。</w:t>
      </w:r>
    </w:p>
    <w:p w:rsidR="00586BCE" w:rsidRDefault="002C31AB">
      <w:pPr>
        <w:ind w:firstLineChars="200" w:firstLine="640"/>
        <w:rPr>
          <w:rFonts w:ascii="黑体" w:eastAsia="黑体" w:hAnsi="黑体" w:cs="黑体"/>
          <w:sz w:val="32"/>
          <w:szCs w:val="32"/>
        </w:rPr>
      </w:pPr>
      <w:r>
        <w:rPr>
          <w:rFonts w:ascii="黑体" w:eastAsia="黑体" w:hAnsi="黑体" w:cs="黑体" w:hint="eastAsia"/>
          <w:sz w:val="32"/>
          <w:szCs w:val="32"/>
        </w:rPr>
        <w:t>三、推进步骤</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（一）摸排准备阶段（</w:t>
      </w:r>
      <w:r w:rsidRPr="00635DEF">
        <w:rPr>
          <w:rFonts w:ascii="楷体_GB2312" w:eastAsia="楷体_GB2312" w:hAnsi="仿宋" w:cs="仿宋" w:hint="eastAsia"/>
          <w:b/>
          <w:sz w:val="32"/>
          <w:szCs w:val="32"/>
        </w:rPr>
        <w:t>2021</w:t>
      </w:r>
      <w:r w:rsidRPr="00635DEF">
        <w:rPr>
          <w:rFonts w:ascii="楷体_GB2312" w:eastAsia="楷体_GB2312" w:hAnsi="仿宋" w:cs="仿宋" w:hint="eastAsia"/>
          <w:b/>
          <w:sz w:val="32"/>
          <w:szCs w:val="32"/>
        </w:rPr>
        <w:t>年</w:t>
      </w:r>
      <w:r w:rsidRPr="00635DEF">
        <w:rPr>
          <w:rFonts w:ascii="楷体_GB2312" w:eastAsia="楷体_GB2312" w:hAnsi="仿宋" w:cs="仿宋" w:hint="eastAsia"/>
          <w:b/>
          <w:sz w:val="32"/>
          <w:szCs w:val="32"/>
        </w:rPr>
        <w:t>3</w:t>
      </w:r>
      <w:r w:rsidRPr="00635DEF">
        <w:rPr>
          <w:rFonts w:ascii="楷体_GB2312" w:eastAsia="楷体_GB2312" w:hAnsi="仿宋" w:cs="仿宋" w:hint="eastAsia"/>
          <w:b/>
          <w:sz w:val="32"/>
          <w:szCs w:val="32"/>
        </w:rPr>
        <w:t>月底前）</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镇（区）生态环境部门结合水平衡专项核查，组织环保专家对镇（区）所有产生废水的企业开展全面排查，全面掌握企业环保审批验收及排污许可，污水处理设施建设及处理效能，企业清污分流、雨污分流及排污口规范化建设，雨水在线监控泵阀联动执行是否到位等情况，形成问题清单。</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（二）综合治理阶段</w:t>
      </w:r>
      <w:r w:rsidRPr="00635DEF">
        <w:rPr>
          <w:rFonts w:ascii="楷体_GB2312" w:eastAsia="楷体_GB2312" w:hAnsi="仿宋" w:cs="仿宋" w:hint="eastAsia"/>
          <w:b/>
          <w:sz w:val="32"/>
          <w:szCs w:val="32"/>
        </w:rPr>
        <w:t>（</w:t>
      </w:r>
      <w:r w:rsidRPr="00635DEF">
        <w:rPr>
          <w:rFonts w:ascii="楷体_GB2312" w:eastAsia="楷体_GB2312" w:hAnsi="仿宋" w:cs="仿宋" w:hint="eastAsia"/>
          <w:b/>
          <w:sz w:val="32"/>
          <w:szCs w:val="32"/>
        </w:rPr>
        <w:t>2021</w:t>
      </w:r>
      <w:r w:rsidRPr="00635DEF">
        <w:rPr>
          <w:rFonts w:ascii="楷体_GB2312" w:eastAsia="楷体_GB2312" w:hAnsi="仿宋" w:cs="仿宋" w:hint="eastAsia"/>
          <w:b/>
          <w:sz w:val="32"/>
          <w:szCs w:val="32"/>
        </w:rPr>
        <w:t>年</w:t>
      </w:r>
      <w:r w:rsidRPr="00635DEF">
        <w:rPr>
          <w:rFonts w:ascii="楷体_GB2312" w:eastAsia="楷体_GB2312" w:hAnsi="仿宋" w:cs="仿宋" w:hint="eastAsia"/>
          <w:b/>
          <w:sz w:val="32"/>
          <w:szCs w:val="32"/>
        </w:rPr>
        <w:t>10</w:t>
      </w:r>
      <w:r w:rsidRPr="00635DEF">
        <w:rPr>
          <w:rFonts w:ascii="楷体_GB2312" w:eastAsia="楷体_GB2312" w:hAnsi="仿宋" w:cs="仿宋" w:hint="eastAsia"/>
          <w:b/>
          <w:sz w:val="32"/>
          <w:szCs w:val="32"/>
        </w:rPr>
        <w:t>月底前）</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按照问题清单，明确治理内容和时间节点，全力推进化工园区废水污染治理。镇（区）生态环境部门督促企业按照要求完成废水综合整治。</w:t>
      </w:r>
    </w:p>
    <w:p w:rsidR="00586BCE" w:rsidRPr="00635DEF" w:rsidRDefault="002C31AB" w:rsidP="00635DEF">
      <w:pPr>
        <w:ind w:firstLineChars="200" w:firstLine="643"/>
        <w:rPr>
          <w:rFonts w:ascii="楷体_GB2312" w:eastAsia="楷体_GB2312" w:hAnsi="仿宋" w:cs="仿宋"/>
          <w:b/>
          <w:sz w:val="32"/>
          <w:szCs w:val="32"/>
        </w:rPr>
      </w:pPr>
      <w:r w:rsidRPr="00635DEF">
        <w:rPr>
          <w:rFonts w:ascii="楷体_GB2312" w:eastAsia="楷体_GB2312" w:hAnsi="仿宋" w:cs="仿宋" w:hint="eastAsia"/>
          <w:b/>
          <w:sz w:val="32"/>
          <w:szCs w:val="32"/>
        </w:rPr>
        <w:t>（三）考评总结阶段（</w:t>
      </w:r>
      <w:r w:rsidRPr="00635DEF">
        <w:rPr>
          <w:rFonts w:ascii="楷体_GB2312" w:eastAsia="楷体_GB2312" w:hAnsi="仿宋" w:cs="仿宋" w:hint="eastAsia"/>
          <w:b/>
          <w:sz w:val="32"/>
          <w:szCs w:val="32"/>
        </w:rPr>
        <w:t>20</w:t>
      </w:r>
      <w:r w:rsidRPr="00635DEF">
        <w:rPr>
          <w:rFonts w:ascii="楷体_GB2312" w:eastAsia="楷体_GB2312" w:hAnsi="仿宋" w:cs="仿宋" w:hint="eastAsia"/>
          <w:b/>
          <w:sz w:val="32"/>
          <w:szCs w:val="32"/>
        </w:rPr>
        <w:t>21</w:t>
      </w:r>
      <w:r w:rsidRPr="00635DEF">
        <w:rPr>
          <w:rFonts w:ascii="楷体_GB2312" w:eastAsia="楷体_GB2312" w:hAnsi="仿宋" w:cs="仿宋" w:hint="eastAsia"/>
          <w:b/>
          <w:sz w:val="32"/>
          <w:szCs w:val="32"/>
        </w:rPr>
        <w:t>年</w:t>
      </w:r>
      <w:r w:rsidRPr="00635DEF">
        <w:rPr>
          <w:rFonts w:ascii="楷体_GB2312" w:eastAsia="楷体_GB2312" w:hAnsi="仿宋" w:cs="仿宋" w:hint="eastAsia"/>
          <w:b/>
          <w:sz w:val="32"/>
          <w:szCs w:val="32"/>
        </w:rPr>
        <w:t>12</w:t>
      </w:r>
      <w:r w:rsidRPr="00635DEF">
        <w:rPr>
          <w:rFonts w:ascii="楷体_GB2312" w:eastAsia="楷体_GB2312" w:hAnsi="仿宋" w:cs="仿宋" w:hint="eastAsia"/>
          <w:b/>
          <w:sz w:val="32"/>
          <w:szCs w:val="32"/>
        </w:rPr>
        <w:t>月底前）</w:t>
      </w: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开展考核验收工作，镇（区）生态环境部门组织对镇（区）废水综合整治工作开展全面评价，形成完整、规范的档案资料，建立科学、长效的水环境管理体系，推动镇（区）水环境质量得到不断优化提升。</w:t>
      </w:r>
    </w:p>
    <w:p w:rsidR="00586BCE" w:rsidRDefault="002C31AB">
      <w:pPr>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586BCE" w:rsidRDefault="002C31AB">
      <w:pPr>
        <w:ind w:firstLineChars="200" w:firstLine="643"/>
        <w:rPr>
          <w:rFonts w:ascii="仿宋_GB2312" w:eastAsia="仿宋_GB2312" w:hAnsi="仿宋" w:cs="仿宋"/>
          <w:sz w:val="32"/>
          <w:szCs w:val="32"/>
        </w:rPr>
      </w:pPr>
      <w:r w:rsidRPr="00635DEF">
        <w:rPr>
          <w:rFonts w:ascii="楷体_GB2312" w:eastAsia="楷体_GB2312" w:hAnsi="仿宋" w:cs="仿宋" w:hint="eastAsia"/>
          <w:b/>
          <w:sz w:val="32"/>
          <w:szCs w:val="32"/>
        </w:rPr>
        <w:t>一、全面组织排查整治。</w:t>
      </w:r>
      <w:r>
        <w:rPr>
          <w:rFonts w:ascii="仿宋_GB2312" w:eastAsia="仿宋_GB2312" w:hAnsi="仿宋" w:cs="仿宋" w:hint="eastAsia"/>
          <w:sz w:val="32"/>
          <w:szCs w:val="32"/>
        </w:rPr>
        <w:t>各企业要高度重视镇（区）废水治理工作，围绕本方案明确的任务要求，开展全面自查并制定相</w:t>
      </w:r>
      <w:r>
        <w:rPr>
          <w:rFonts w:ascii="仿宋_GB2312" w:eastAsia="仿宋_GB2312" w:hAnsi="仿宋" w:cs="仿宋" w:hint="eastAsia"/>
          <w:sz w:val="32"/>
          <w:szCs w:val="32"/>
        </w:rPr>
        <w:lastRenderedPageBreak/>
        <w:t>应整治提升方案，镇（区）生态环境部门及时协调工作中的难点问题，按时保质保量完成整治任务。</w:t>
      </w:r>
    </w:p>
    <w:p w:rsidR="00586BCE" w:rsidRDefault="002C31AB">
      <w:pPr>
        <w:ind w:firstLineChars="200" w:firstLine="643"/>
        <w:rPr>
          <w:rFonts w:ascii="仿宋_GB2312" w:eastAsia="仿宋_GB2312" w:hAnsi="仿宋" w:cs="仿宋"/>
          <w:sz w:val="32"/>
          <w:szCs w:val="32"/>
        </w:rPr>
      </w:pPr>
      <w:r w:rsidRPr="00635DEF">
        <w:rPr>
          <w:rFonts w:ascii="楷体_GB2312" w:eastAsia="楷体_GB2312" w:hAnsi="仿宋" w:cs="仿宋" w:hint="eastAsia"/>
          <w:b/>
          <w:sz w:val="32"/>
          <w:szCs w:val="32"/>
        </w:rPr>
        <w:t>二、严格落实整治责任。</w:t>
      </w:r>
      <w:r>
        <w:rPr>
          <w:rFonts w:ascii="仿宋_GB2312" w:eastAsia="仿宋_GB2312" w:hAnsi="仿宋" w:cs="仿宋" w:hint="eastAsia"/>
          <w:sz w:val="32"/>
          <w:szCs w:val="32"/>
        </w:rPr>
        <w:t>严格整治标准，强化监管执法，</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10</w:t>
      </w:r>
      <w:r>
        <w:rPr>
          <w:rFonts w:ascii="仿宋_GB2312" w:eastAsia="仿宋_GB2312" w:hAnsi="仿宋" w:cs="仿宋" w:hint="eastAsia"/>
          <w:sz w:val="32"/>
          <w:szCs w:val="32"/>
        </w:rPr>
        <w:t>月底之前，对不能稳定达标排放，未按期完成清污分流、雨污分流及水污染防治设施改造改造，未能够按规定执行园区雨水排放管理制度的企业一律停产整改。</w:t>
      </w:r>
    </w:p>
    <w:p w:rsidR="00586BCE" w:rsidRDefault="002C31AB">
      <w:pPr>
        <w:ind w:firstLineChars="200" w:firstLine="643"/>
        <w:rPr>
          <w:rFonts w:ascii="仿宋_GB2312" w:eastAsia="仿宋_GB2312" w:hAnsi="仿宋" w:cs="仿宋"/>
          <w:sz w:val="32"/>
          <w:szCs w:val="32"/>
        </w:rPr>
      </w:pPr>
      <w:r w:rsidRPr="00635DEF">
        <w:rPr>
          <w:rFonts w:ascii="楷体_GB2312" w:eastAsia="楷体_GB2312" w:hAnsi="仿宋" w:cs="仿宋" w:hint="eastAsia"/>
          <w:b/>
          <w:sz w:val="32"/>
          <w:szCs w:val="32"/>
        </w:rPr>
        <w:t>三、建立治理长效机制。</w:t>
      </w:r>
      <w:r>
        <w:rPr>
          <w:rFonts w:ascii="仿宋_GB2312" w:eastAsia="仿宋_GB2312" w:hAnsi="仿宋" w:cs="仿宋" w:hint="eastAsia"/>
          <w:sz w:val="32"/>
          <w:szCs w:val="32"/>
        </w:rPr>
        <w:t>认真落实《中华人民共和国环境保护法》《中华人民共和国水污染防治法》，进一步加大环境监管执法力度，坚持零容忍、全覆盖，严厉打击环境违法行为，促进企业落实水污染防治责任。深入实施镇（区）网格化管理制度，持续开展暗管排查等专项行动，逐步完善镇（区）水环境监测体系，积极探索第三</w:t>
      </w:r>
      <w:proofErr w:type="gramStart"/>
      <w:r>
        <w:rPr>
          <w:rFonts w:ascii="仿宋_GB2312" w:eastAsia="仿宋_GB2312" w:hAnsi="仿宋" w:cs="仿宋" w:hint="eastAsia"/>
          <w:sz w:val="32"/>
          <w:szCs w:val="32"/>
        </w:rPr>
        <w:t>方治理</w:t>
      </w:r>
      <w:proofErr w:type="gramEnd"/>
      <w:r>
        <w:rPr>
          <w:rFonts w:ascii="仿宋_GB2312" w:eastAsia="仿宋_GB2312" w:hAnsi="仿宋" w:cs="仿宋" w:hint="eastAsia"/>
          <w:sz w:val="32"/>
          <w:szCs w:val="32"/>
        </w:rPr>
        <w:t>模式。定期</w:t>
      </w:r>
      <w:proofErr w:type="gramStart"/>
      <w:r>
        <w:rPr>
          <w:rFonts w:ascii="仿宋_GB2312" w:eastAsia="仿宋_GB2312" w:hAnsi="仿宋" w:cs="仿宋" w:hint="eastAsia"/>
          <w:sz w:val="32"/>
          <w:szCs w:val="32"/>
        </w:rPr>
        <w:t>公布水</w:t>
      </w:r>
      <w:proofErr w:type="gramEnd"/>
      <w:r>
        <w:rPr>
          <w:rFonts w:ascii="仿宋_GB2312" w:eastAsia="仿宋_GB2312" w:hAnsi="仿宋" w:cs="仿宋" w:hint="eastAsia"/>
          <w:sz w:val="32"/>
          <w:szCs w:val="32"/>
        </w:rPr>
        <w:t>环境质量状况，废水治理等情况，切实提高镇（区）环境管理水平。</w:t>
      </w:r>
    </w:p>
    <w:p w:rsidR="00586BCE" w:rsidRDefault="00586BCE">
      <w:pPr>
        <w:ind w:firstLineChars="200" w:firstLine="640"/>
        <w:rPr>
          <w:rFonts w:ascii="仿宋_GB2312" w:eastAsia="仿宋_GB2312" w:hAnsi="仿宋" w:cs="仿宋"/>
          <w:sz w:val="32"/>
          <w:szCs w:val="32"/>
        </w:rPr>
      </w:pPr>
    </w:p>
    <w:p w:rsidR="00586BCE" w:rsidRDefault="002C31AB">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z w:val="32"/>
          <w:szCs w:val="32"/>
        </w:rPr>
        <w:t>如东县洋口镇水环境专项整治现场检查表</w:t>
      </w:r>
    </w:p>
    <w:p w:rsidR="00586BCE" w:rsidRDefault="00586BCE">
      <w:pPr>
        <w:ind w:firstLineChars="200" w:firstLine="640"/>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Pr="00635DEF" w:rsidRDefault="00635DEF">
      <w:pPr>
        <w:rPr>
          <w:rFonts w:ascii="黑体" w:eastAsia="黑体" w:hAnsi="黑体" w:cs="仿宋"/>
          <w:sz w:val="32"/>
          <w:szCs w:val="32"/>
        </w:rPr>
      </w:pPr>
      <w:r w:rsidRPr="00635DEF">
        <w:rPr>
          <w:rFonts w:ascii="黑体" w:eastAsia="黑体" w:hAnsi="黑体" w:cs="仿宋" w:hint="eastAsia"/>
          <w:sz w:val="32"/>
          <w:szCs w:val="32"/>
        </w:rPr>
        <w:lastRenderedPageBreak/>
        <w:t>附件</w:t>
      </w:r>
    </w:p>
    <w:tbl>
      <w:tblPr>
        <w:tblpPr w:leftFromText="180" w:rightFromText="180" w:vertAnchor="text" w:horzAnchor="page" w:tblpXSpec="center" w:tblpY="492"/>
        <w:tblOverlap w:val="never"/>
        <w:tblW w:w="9696" w:type="dxa"/>
        <w:jc w:val="center"/>
        <w:tblLayout w:type="fixed"/>
        <w:tblCellMar>
          <w:left w:w="0" w:type="dxa"/>
          <w:right w:w="0" w:type="dxa"/>
        </w:tblCellMar>
        <w:tblLook w:val="04A0" w:firstRow="1" w:lastRow="0" w:firstColumn="1" w:lastColumn="0" w:noHBand="0" w:noVBand="1"/>
      </w:tblPr>
      <w:tblGrid>
        <w:gridCol w:w="765"/>
        <w:gridCol w:w="1437"/>
        <w:gridCol w:w="4886"/>
        <w:gridCol w:w="2608"/>
      </w:tblGrid>
      <w:tr w:rsidR="00586BCE" w:rsidTr="00635DEF">
        <w:trPr>
          <w:trHeight w:val="624"/>
          <w:jc w:val="center"/>
        </w:trPr>
        <w:tc>
          <w:tcPr>
            <w:tcW w:w="9696" w:type="dxa"/>
            <w:gridSpan w:val="4"/>
            <w:tcBorders>
              <w:top w:val="nil"/>
              <w:left w:val="nil"/>
              <w:bottom w:val="nil"/>
              <w:right w:val="nil"/>
            </w:tcBorders>
            <w:shd w:val="clear" w:color="auto" w:fill="auto"/>
            <w:tcMar>
              <w:top w:w="15" w:type="dxa"/>
              <w:left w:w="15" w:type="dxa"/>
              <w:right w:w="15" w:type="dxa"/>
            </w:tcMar>
            <w:vAlign w:val="center"/>
          </w:tcPr>
          <w:p w:rsidR="00586BCE" w:rsidRPr="00635DEF" w:rsidRDefault="002C31AB">
            <w:pPr>
              <w:widowControl/>
              <w:jc w:val="center"/>
              <w:textAlignment w:val="center"/>
              <w:rPr>
                <w:rFonts w:ascii="方正小标宋简体" w:eastAsia="方正小标宋简体" w:hAnsi="宋体" w:cs="宋体" w:hint="eastAsia"/>
                <w:color w:val="000000"/>
                <w:sz w:val="40"/>
                <w:szCs w:val="40"/>
              </w:rPr>
            </w:pPr>
            <w:r w:rsidRPr="00635DEF">
              <w:rPr>
                <w:rFonts w:ascii="方正小标宋简体" w:eastAsia="方正小标宋简体" w:hAnsi="宋体" w:cs="宋体" w:hint="eastAsia"/>
                <w:color w:val="000000"/>
                <w:kern w:val="0"/>
                <w:sz w:val="44"/>
                <w:szCs w:val="44"/>
                <w:lang w:bidi="ar"/>
              </w:rPr>
              <w:t>如东县洋口镇水环境专项整治现场检查表</w:t>
            </w:r>
          </w:p>
        </w:tc>
      </w:tr>
      <w:tr w:rsidR="00586BCE" w:rsidTr="00635DEF">
        <w:trPr>
          <w:trHeight w:val="696"/>
          <w:jc w:val="center"/>
        </w:trPr>
        <w:tc>
          <w:tcPr>
            <w:tcW w:w="9696" w:type="dxa"/>
            <w:gridSpan w:val="4"/>
            <w:tcBorders>
              <w:top w:val="nil"/>
              <w:left w:val="nil"/>
              <w:bottom w:val="nil"/>
              <w:right w:val="nil"/>
            </w:tcBorders>
            <w:shd w:val="clear" w:color="auto" w:fill="auto"/>
            <w:tcMar>
              <w:top w:w="15" w:type="dxa"/>
              <w:left w:w="15" w:type="dxa"/>
              <w:right w:w="15" w:type="dxa"/>
            </w:tcMar>
            <w:vAlign w:val="center"/>
          </w:tcPr>
          <w:p w:rsidR="00586BCE" w:rsidRDefault="002C31AB">
            <w:pPr>
              <w:widowControl/>
              <w:jc w:val="left"/>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单位名称：</w:t>
            </w:r>
          </w:p>
        </w:tc>
      </w:tr>
      <w:tr w:rsidR="00586BCE" w:rsidTr="00635DEF">
        <w:trPr>
          <w:trHeight w:val="285"/>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检查项目</w:t>
            </w: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检查内容</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存在问题</w:t>
            </w:r>
          </w:p>
        </w:tc>
      </w:tr>
      <w:tr w:rsidR="00586BCE" w:rsidTr="00635DEF">
        <w:trPr>
          <w:trHeight w:val="542"/>
          <w:jc w:val="center"/>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4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废水处理设施建设及运行情况</w:t>
            </w: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、废水处理工艺与环评审批一致性情况。</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54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、废水处理工艺流程图、操作规程、操作人员岗位责职上墙。</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468"/>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、污水进水管道用黄色，出水用蓝色油漆。</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596"/>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、污水处理构造物标识，用白底蓝字，内容有：名称、规格</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57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、各设备标识（泵、污泥处置设备、加药设备等），白底蓝字，内容：名称、用途。</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332"/>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、废水处理设施安装单独电表。</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684"/>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r>
              <w:rPr>
                <w:rFonts w:ascii="宋体" w:eastAsia="宋体" w:hAnsi="宋体" w:cs="宋体" w:hint="eastAsia"/>
                <w:color w:val="000000"/>
                <w:kern w:val="0"/>
                <w:sz w:val="24"/>
                <w:szCs w:val="24"/>
                <w:lang w:bidi="ar"/>
              </w:rPr>
              <w:t>、废水处理设施是否有照明亮化，设施周边是否硬化和美化</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855"/>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、高浓度废水蒸馏必须正常运行，高浓度废水蒸馏车间必须单独安装</w:t>
            </w:r>
            <w:proofErr w:type="gramStart"/>
            <w:r>
              <w:rPr>
                <w:rFonts w:ascii="宋体" w:eastAsia="宋体" w:hAnsi="宋体" w:cs="宋体" w:hint="eastAsia"/>
                <w:color w:val="000000"/>
                <w:kern w:val="0"/>
                <w:sz w:val="24"/>
                <w:szCs w:val="24"/>
                <w:lang w:bidi="ar"/>
              </w:rPr>
              <w:t>蒸气</w:t>
            </w:r>
            <w:proofErr w:type="gramEnd"/>
            <w:r>
              <w:rPr>
                <w:rFonts w:ascii="宋体" w:eastAsia="宋体" w:hAnsi="宋体" w:cs="宋体" w:hint="eastAsia"/>
                <w:color w:val="000000"/>
                <w:kern w:val="0"/>
                <w:sz w:val="24"/>
                <w:szCs w:val="24"/>
                <w:lang w:bidi="ar"/>
              </w:rPr>
              <w:t>表，单独建立台账（进水量、</w:t>
            </w:r>
            <w:proofErr w:type="gramStart"/>
            <w:r>
              <w:rPr>
                <w:rFonts w:ascii="宋体" w:eastAsia="宋体" w:hAnsi="宋体" w:cs="宋体" w:hint="eastAsia"/>
                <w:color w:val="000000"/>
                <w:kern w:val="0"/>
                <w:sz w:val="24"/>
                <w:szCs w:val="24"/>
                <w:lang w:bidi="ar"/>
              </w:rPr>
              <w:t>蒸气</w:t>
            </w:r>
            <w:proofErr w:type="gramEnd"/>
            <w:r>
              <w:rPr>
                <w:rFonts w:ascii="宋体" w:eastAsia="宋体" w:hAnsi="宋体" w:cs="宋体" w:hint="eastAsia"/>
                <w:color w:val="000000"/>
                <w:kern w:val="0"/>
                <w:sz w:val="24"/>
                <w:szCs w:val="24"/>
                <w:lang w:bidi="ar"/>
              </w:rPr>
              <w:t>用量、</w:t>
            </w:r>
            <w:proofErr w:type="gramStart"/>
            <w:r>
              <w:rPr>
                <w:rFonts w:ascii="宋体" w:eastAsia="宋体" w:hAnsi="宋体" w:cs="宋体" w:hint="eastAsia"/>
                <w:color w:val="000000"/>
                <w:kern w:val="0"/>
                <w:sz w:val="24"/>
                <w:szCs w:val="24"/>
                <w:lang w:bidi="ar"/>
              </w:rPr>
              <w:t>蒸气</w:t>
            </w:r>
            <w:proofErr w:type="gramEnd"/>
            <w:r>
              <w:rPr>
                <w:rFonts w:ascii="宋体" w:eastAsia="宋体" w:hAnsi="宋体" w:cs="宋体" w:hint="eastAsia"/>
                <w:color w:val="000000"/>
                <w:kern w:val="0"/>
                <w:sz w:val="24"/>
                <w:szCs w:val="24"/>
                <w:lang w:bidi="ar"/>
              </w:rPr>
              <w:t>表读数）。</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1404"/>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、废水处理设施是否正常运行，运行记录是否齐全（开机时间、停机时间、曝气时段、进水量、排水量、投加药剂时间和投加药剂量、电表读数和用电量、污泥产生量、设施运行故障原因及修复情况记录）。</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72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、建立分析室，监测分析人员不得少于两人，废水处理设施各工段进出水质监测分析原始记录必须齐全。</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612"/>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、是否存在药剂投加不合理情况。（</w:t>
            </w:r>
            <w:proofErr w:type="gramStart"/>
            <w:r>
              <w:rPr>
                <w:rFonts w:ascii="宋体" w:eastAsia="宋体" w:hAnsi="宋体" w:cs="宋体" w:hint="eastAsia"/>
                <w:color w:val="000000"/>
                <w:kern w:val="0"/>
                <w:sz w:val="24"/>
                <w:szCs w:val="24"/>
                <w:lang w:bidi="ar"/>
              </w:rPr>
              <w:t>如尾水池</w:t>
            </w:r>
            <w:proofErr w:type="gramEnd"/>
            <w:r>
              <w:rPr>
                <w:rFonts w:ascii="宋体" w:eastAsia="宋体" w:hAnsi="宋体" w:cs="宋体" w:hint="eastAsia"/>
                <w:color w:val="000000"/>
                <w:kern w:val="0"/>
                <w:sz w:val="24"/>
                <w:szCs w:val="24"/>
                <w:lang w:bidi="ar"/>
              </w:rPr>
              <w:t>投加次钠）</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612"/>
          <w:jc w:val="center"/>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14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清污分流、污管明建、雨水收集排放情况</w:t>
            </w: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、清水管网明渠，污水管网明建、架空情况。</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588"/>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、清水排口明渠、安装电磁阀控和视频监控，无污渍情况。</w:t>
            </w:r>
          </w:p>
        </w:tc>
        <w:tc>
          <w:tcPr>
            <w:tcW w:w="26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446"/>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、车间废水分质收集、分类输送情况。</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695"/>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、清水管网、初期雨水收集池和</w:t>
            </w:r>
            <w:proofErr w:type="gramStart"/>
            <w:r>
              <w:rPr>
                <w:rFonts w:ascii="宋体" w:eastAsia="宋体" w:hAnsi="宋体" w:cs="宋体" w:hint="eastAsia"/>
                <w:color w:val="000000"/>
                <w:kern w:val="0"/>
                <w:sz w:val="24"/>
                <w:szCs w:val="24"/>
                <w:lang w:bidi="ar"/>
              </w:rPr>
              <w:t>应急池零存放</w:t>
            </w:r>
            <w:proofErr w:type="gramEnd"/>
            <w:r>
              <w:rPr>
                <w:rFonts w:ascii="宋体" w:eastAsia="宋体" w:hAnsi="宋体" w:cs="宋体" w:hint="eastAsia"/>
                <w:color w:val="000000"/>
                <w:kern w:val="0"/>
                <w:sz w:val="24"/>
                <w:szCs w:val="24"/>
                <w:lang w:bidi="ar"/>
              </w:rPr>
              <w:t>情况。</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57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r>
              <w:rPr>
                <w:rFonts w:ascii="宋体" w:eastAsia="宋体" w:hAnsi="宋体" w:cs="宋体" w:hint="eastAsia"/>
                <w:color w:val="000000"/>
                <w:kern w:val="0"/>
                <w:sz w:val="24"/>
                <w:szCs w:val="24"/>
                <w:lang w:bidi="ar"/>
              </w:rPr>
              <w:t>、污水管网明建、架空并标识，无三通、旁路、超越管道情况。</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855"/>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、污水排放</w:t>
            </w:r>
            <w:proofErr w:type="gramStart"/>
            <w:r>
              <w:rPr>
                <w:rFonts w:ascii="宋体" w:eastAsia="宋体" w:hAnsi="宋体" w:cs="宋体" w:hint="eastAsia"/>
                <w:color w:val="000000"/>
                <w:kern w:val="0"/>
                <w:sz w:val="24"/>
                <w:szCs w:val="24"/>
                <w:lang w:bidi="ar"/>
              </w:rPr>
              <w:t>池必须</w:t>
            </w:r>
            <w:proofErr w:type="gramEnd"/>
            <w:r>
              <w:rPr>
                <w:rFonts w:ascii="宋体" w:eastAsia="宋体" w:hAnsi="宋体" w:cs="宋体" w:hint="eastAsia"/>
                <w:color w:val="000000"/>
                <w:kern w:val="0"/>
                <w:sz w:val="24"/>
                <w:szCs w:val="24"/>
                <w:lang w:bidi="ar"/>
              </w:rPr>
              <w:t>单一池，设置独立监控房，安装在线监控（包括流量计、</w:t>
            </w:r>
            <w:r>
              <w:rPr>
                <w:rFonts w:ascii="宋体" w:eastAsia="宋体" w:hAnsi="宋体" w:cs="宋体" w:hint="eastAsia"/>
                <w:color w:val="000000"/>
                <w:kern w:val="0"/>
                <w:sz w:val="24"/>
                <w:szCs w:val="24"/>
                <w:lang w:bidi="ar"/>
              </w:rPr>
              <w:t>COD</w:t>
            </w:r>
            <w:r>
              <w:rPr>
                <w:rFonts w:ascii="宋体" w:eastAsia="宋体" w:hAnsi="宋体" w:cs="宋体" w:hint="eastAsia"/>
                <w:color w:val="000000"/>
                <w:kern w:val="0"/>
                <w:sz w:val="24"/>
                <w:szCs w:val="24"/>
                <w:lang w:bidi="ar"/>
              </w:rPr>
              <w:t>、总量控制器、电磁阀控、</w:t>
            </w:r>
            <w:proofErr w:type="gramStart"/>
            <w:r>
              <w:rPr>
                <w:rFonts w:ascii="宋体" w:eastAsia="宋体" w:hAnsi="宋体" w:cs="宋体" w:hint="eastAsia"/>
                <w:color w:val="000000"/>
                <w:kern w:val="0"/>
                <w:sz w:val="24"/>
                <w:szCs w:val="24"/>
                <w:lang w:bidi="ar"/>
              </w:rPr>
              <w:t>数采仪</w:t>
            </w:r>
            <w:proofErr w:type="gramEnd"/>
            <w:r>
              <w:rPr>
                <w:rFonts w:ascii="宋体" w:eastAsia="宋体" w:hAnsi="宋体" w:cs="宋体" w:hint="eastAsia"/>
                <w:color w:val="000000"/>
                <w:kern w:val="0"/>
                <w:sz w:val="24"/>
                <w:szCs w:val="24"/>
                <w:lang w:bidi="ar"/>
              </w:rPr>
              <w:t>等）、视频监控。</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995"/>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r>
              <w:rPr>
                <w:rFonts w:ascii="宋体" w:eastAsia="宋体" w:hAnsi="宋体" w:cs="宋体" w:hint="eastAsia"/>
                <w:color w:val="000000"/>
                <w:kern w:val="0"/>
                <w:sz w:val="24"/>
                <w:szCs w:val="24"/>
                <w:lang w:bidi="ar"/>
              </w:rPr>
              <w:t>、雨水</w:t>
            </w:r>
            <w:proofErr w:type="gramStart"/>
            <w:r>
              <w:rPr>
                <w:rFonts w:ascii="宋体" w:eastAsia="宋体" w:hAnsi="宋体" w:cs="宋体" w:hint="eastAsia"/>
                <w:color w:val="000000"/>
                <w:kern w:val="0"/>
                <w:sz w:val="24"/>
                <w:szCs w:val="24"/>
                <w:lang w:bidi="ar"/>
              </w:rPr>
              <w:t>排口需安装</w:t>
            </w:r>
            <w:proofErr w:type="gramEnd"/>
            <w:r>
              <w:rPr>
                <w:rFonts w:ascii="宋体" w:eastAsia="宋体" w:hAnsi="宋体" w:cs="宋体" w:hint="eastAsia"/>
                <w:color w:val="000000"/>
                <w:kern w:val="0"/>
                <w:sz w:val="24"/>
                <w:szCs w:val="24"/>
                <w:lang w:bidi="ar"/>
              </w:rPr>
              <w:t>在线监控（包括流量计、</w:t>
            </w:r>
            <w:r>
              <w:rPr>
                <w:rFonts w:ascii="宋体" w:eastAsia="宋体" w:hAnsi="宋体" w:cs="宋体" w:hint="eastAsia"/>
                <w:color w:val="000000"/>
                <w:kern w:val="0"/>
                <w:sz w:val="24"/>
                <w:szCs w:val="24"/>
                <w:lang w:bidi="ar"/>
              </w:rPr>
              <w:t>COD</w:t>
            </w:r>
            <w:r>
              <w:rPr>
                <w:rFonts w:ascii="宋体" w:eastAsia="宋体" w:hAnsi="宋体" w:cs="宋体" w:hint="eastAsia"/>
                <w:color w:val="000000"/>
                <w:kern w:val="0"/>
                <w:sz w:val="24"/>
                <w:szCs w:val="24"/>
                <w:lang w:bidi="ar"/>
              </w:rPr>
              <w:t>、两套电磁阀控、</w:t>
            </w:r>
            <w:proofErr w:type="gramStart"/>
            <w:r>
              <w:rPr>
                <w:rFonts w:ascii="宋体" w:eastAsia="宋体" w:hAnsi="宋体" w:cs="宋体" w:hint="eastAsia"/>
                <w:color w:val="000000"/>
                <w:kern w:val="0"/>
                <w:sz w:val="24"/>
                <w:szCs w:val="24"/>
                <w:lang w:bidi="ar"/>
              </w:rPr>
              <w:t>数采仪</w:t>
            </w:r>
            <w:proofErr w:type="gramEnd"/>
            <w:r>
              <w:rPr>
                <w:rFonts w:ascii="宋体" w:eastAsia="宋体" w:hAnsi="宋体" w:cs="宋体" w:hint="eastAsia"/>
                <w:color w:val="000000"/>
                <w:kern w:val="0"/>
                <w:sz w:val="24"/>
                <w:szCs w:val="24"/>
                <w:lang w:bidi="ar"/>
              </w:rPr>
              <w:t>等）、视频监控。</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108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、初期雨水</w:t>
            </w:r>
            <w:proofErr w:type="gramStart"/>
            <w:r>
              <w:rPr>
                <w:rFonts w:ascii="宋体" w:eastAsia="宋体" w:hAnsi="宋体" w:cs="宋体" w:hint="eastAsia"/>
                <w:color w:val="000000"/>
                <w:kern w:val="0"/>
                <w:sz w:val="24"/>
                <w:szCs w:val="24"/>
                <w:lang w:bidi="ar"/>
              </w:rPr>
              <w:t>收集池须安装</w:t>
            </w:r>
            <w:proofErr w:type="gramEnd"/>
            <w:r>
              <w:rPr>
                <w:rFonts w:ascii="宋体" w:eastAsia="宋体" w:hAnsi="宋体" w:cs="宋体" w:hint="eastAsia"/>
                <w:color w:val="000000"/>
                <w:kern w:val="0"/>
                <w:sz w:val="24"/>
                <w:szCs w:val="24"/>
                <w:lang w:bidi="ar"/>
              </w:rPr>
              <w:t>液位自控式回流泵</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将收集的初期雨水采用明管架空输送至污水站处理</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回流至污水站的输送道管口须高出回流收集</w:t>
            </w:r>
            <w:proofErr w:type="gramStart"/>
            <w:r>
              <w:rPr>
                <w:rFonts w:ascii="宋体" w:eastAsia="宋体" w:hAnsi="宋体" w:cs="宋体" w:hint="eastAsia"/>
                <w:color w:val="000000"/>
                <w:kern w:val="0"/>
                <w:sz w:val="24"/>
                <w:szCs w:val="24"/>
                <w:lang w:bidi="ar"/>
              </w:rPr>
              <w:t>池最高液</w:t>
            </w:r>
            <w:proofErr w:type="gramEnd"/>
            <w:r>
              <w:rPr>
                <w:rFonts w:ascii="宋体" w:eastAsia="宋体" w:hAnsi="宋体" w:cs="宋体" w:hint="eastAsia"/>
                <w:color w:val="000000"/>
                <w:kern w:val="0"/>
                <w:sz w:val="24"/>
                <w:szCs w:val="24"/>
                <w:lang w:bidi="ar"/>
              </w:rPr>
              <w:t>位</w:t>
            </w:r>
            <w:r>
              <w:rPr>
                <w:rFonts w:ascii="宋体" w:eastAsia="宋体" w:hAnsi="宋体" w:cs="宋体" w:hint="eastAsia"/>
                <w:color w:val="000000"/>
                <w:kern w:val="0"/>
                <w:sz w:val="24"/>
                <w:szCs w:val="24"/>
                <w:lang w:bidi="ar"/>
              </w:rPr>
              <w:t>15cm</w:t>
            </w:r>
            <w:r>
              <w:rPr>
                <w:rFonts w:ascii="宋体" w:eastAsia="宋体" w:hAnsi="宋体" w:cs="宋体" w:hint="eastAsia"/>
                <w:color w:val="000000"/>
                <w:kern w:val="0"/>
                <w:sz w:val="24"/>
                <w:szCs w:val="24"/>
                <w:lang w:bidi="ar"/>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996"/>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r>
              <w:rPr>
                <w:rFonts w:ascii="宋体" w:eastAsia="宋体" w:hAnsi="宋体" w:cs="宋体" w:hint="eastAsia"/>
                <w:color w:val="000000"/>
                <w:kern w:val="0"/>
                <w:sz w:val="24"/>
                <w:szCs w:val="24"/>
                <w:lang w:bidi="ar"/>
              </w:rPr>
              <w:t>、初期雨水收集池内须安装</w:t>
            </w:r>
            <w:proofErr w:type="gramStart"/>
            <w:r>
              <w:rPr>
                <w:rFonts w:ascii="宋体" w:eastAsia="宋体" w:hAnsi="宋体" w:cs="宋体" w:hint="eastAsia"/>
                <w:color w:val="000000"/>
                <w:kern w:val="0"/>
                <w:sz w:val="24"/>
                <w:szCs w:val="24"/>
                <w:lang w:bidi="ar"/>
              </w:rPr>
              <w:t>液位计</w:t>
            </w:r>
            <w:proofErr w:type="gramEnd"/>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池内的废水不得长期滞留在池内</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在雨后必须立即处理完毕，初期雨水池液</w:t>
            </w:r>
            <w:proofErr w:type="gramStart"/>
            <w:r>
              <w:rPr>
                <w:rFonts w:ascii="宋体" w:eastAsia="宋体" w:hAnsi="宋体" w:cs="宋体" w:hint="eastAsia"/>
                <w:color w:val="000000"/>
                <w:kern w:val="0"/>
                <w:sz w:val="24"/>
                <w:szCs w:val="24"/>
                <w:lang w:bidi="ar"/>
              </w:rPr>
              <w:t>位不得</w:t>
            </w:r>
            <w:proofErr w:type="gramEnd"/>
            <w:r>
              <w:rPr>
                <w:rFonts w:ascii="宋体" w:eastAsia="宋体" w:hAnsi="宋体" w:cs="宋体" w:hint="eastAsia"/>
                <w:color w:val="000000"/>
                <w:kern w:val="0"/>
                <w:sz w:val="24"/>
                <w:szCs w:val="24"/>
                <w:lang w:bidi="ar"/>
              </w:rPr>
              <w:t>高于</w:t>
            </w:r>
            <w:r>
              <w:rPr>
                <w:rFonts w:ascii="宋体" w:eastAsia="宋体" w:hAnsi="宋体" w:cs="宋体" w:hint="eastAsia"/>
                <w:color w:val="000000"/>
                <w:kern w:val="0"/>
                <w:sz w:val="24"/>
                <w:szCs w:val="24"/>
                <w:lang w:bidi="ar"/>
              </w:rPr>
              <w:t>15cm</w:t>
            </w:r>
            <w:r>
              <w:rPr>
                <w:rFonts w:ascii="宋体" w:eastAsia="宋体" w:hAnsi="宋体" w:cs="宋体" w:hint="eastAsia"/>
                <w:color w:val="000000"/>
                <w:kern w:val="0"/>
                <w:sz w:val="24"/>
                <w:szCs w:val="24"/>
                <w:lang w:bidi="ar"/>
              </w:rPr>
              <w:t>。</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1056"/>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、确保雨水在线监测和视频监控设施的正常供电</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不得擅自断电</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遮挡视频监控装置</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不得干扰在线监测正常运行。企业雨水在线监测和视频监控设施不得停运。</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461"/>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、是否存在擅自开启雨水阀门情况。</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804"/>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r>
              <w:rPr>
                <w:rFonts w:ascii="宋体" w:eastAsia="宋体" w:hAnsi="宋体" w:cs="宋体" w:hint="eastAsia"/>
                <w:color w:val="000000"/>
                <w:kern w:val="0"/>
                <w:sz w:val="24"/>
                <w:szCs w:val="24"/>
                <w:lang w:bidi="ar"/>
              </w:rPr>
              <w:t>、初期雨输送管道须安装在线流量计和止回阀控，管道直通污水处理设施，无三通。</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554"/>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r>
              <w:rPr>
                <w:rFonts w:ascii="宋体" w:eastAsia="宋体" w:hAnsi="宋体" w:cs="宋体" w:hint="eastAsia"/>
                <w:color w:val="000000"/>
                <w:kern w:val="0"/>
                <w:sz w:val="24"/>
                <w:szCs w:val="24"/>
                <w:lang w:bidi="ar"/>
              </w:rPr>
              <w:t>、是否存在初期雨水池和应急池共用。</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734"/>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r>
              <w:rPr>
                <w:rFonts w:ascii="宋体" w:eastAsia="宋体" w:hAnsi="宋体" w:cs="宋体" w:hint="eastAsia"/>
                <w:color w:val="000000"/>
                <w:kern w:val="0"/>
                <w:sz w:val="24"/>
                <w:szCs w:val="24"/>
                <w:lang w:bidi="ar"/>
              </w:rPr>
              <w:t>、厂区管网、池体、围堰区防腐是否到位。</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576"/>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4886"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r>
              <w:rPr>
                <w:rFonts w:ascii="宋体" w:eastAsia="宋体" w:hAnsi="宋体" w:cs="宋体" w:hint="eastAsia"/>
                <w:color w:val="000000"/>
                <w:kern w:val="0"/>
                <w:sz w:val="24"/>
                <w:szCs w:val="24"/>
                <w:lang w:bidi="ar"/>
              </w:rPr>
              <w:t>、罐区、真空泵区等设施围堰内初期雨水收集是否到位。</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rPr>
                <w:rFonts w:ascii="宋体" w:eastAsia="宋体" w:hAnsi="宋体" w:cs="宋体"/>
                <w:color w:val="000000"/>
                <w:sz w:val="24"/>
                <w:szCs w:val="24"/>
              </w:rPr>
            </w:pPr>
          </w:p>
        </w:tc>
      </w:tr>
      <w:tr w:rsidR="00586BCE" w:rsidTr="00635DEF">
        <w:trPr>
          <w:trHeight w:val="1380"/>
          <w:jc w:val="center"/>
        </w:trPr>
        <w:tc>
          <w:tcPr>
            <w:tcW w:w="76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14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6BCE" w:rsidRDefault="00586BCE">
            <w:pPr>
              <w:jc w:val="center"/>
              <w:rPr>
                <w:rFonts w:ascii="宋体" w:eastAsia="宋体" w:hAnsi="宋体" w:cs="宋体"/>
                <w:color w:val="000000"/>
                <w:sz w:val="24"/>
                <w:szCs w:val="24"/>
              </w:rPr>
            </w:pPr>
          </w:p>
        </w:tc>
        <w:tc>
          <w:tcPr>
            <w:tcW w:w="74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86BCE" w:rsidRDefault="002C31AB">
            <w:pPr>
              <w:widowControl/>
              <w:textAlignment w:val="top"/>
              <w:rPr>
                <w:rFonts w:ascii="宋体" w:eastAsia="宋体" w:hAnsi="宋体" w:cs="宋体"/>
                <w:color w:val="000000"/>
                <w:sz w:val="24"/>
                <w:szCs w:val="24"/>
              </w:rPr>
            </w:pPr>
            <w:r>
              <w:rPr>
                <w:rFonts w:ascii="宋体" w:eastAsia="宋体" w:hAnsi="宋体" w:cs="宋体" w:hint="eastAsia"/>
                <w:color w:val="000000"/>
                <w:kern w:val="0"/>
                <w:sz w:val="24"/>
                <w:szCs w:val="24"/>
                <w:lang w:bidi="ar"/>
              </w:rPr>
              <w:t>其他问题：</w:t>
            </w:r>
          </w:p>
        </w:tc>
      </w:tr>
      <w:tr w:rsidR="00586BCE" w:rsidTr="00635DEF">
        <w:trPr>
          <w:trHeight w:val="285"/>
          <w:jc w:val="center"/>
        </w:trPr>
        <w:tc>
          <w:tcPr>
            <w:tcW w:w="765" w:type="dxa"/>
            <w:tcBorders>
              <w:top w:val="nil"/>
              <w:left w:val="nil"/>
              <w:bottom w:val="nil"/>
              <w:right w:val="nil"/>
            </w:tcBorders>
            <w:shd w:val="clear" w:color="auto" w:fill="auto"/>
            <w:noWrap/>
            <w:tcMar>
              <w:top w:w="15" w:type="dxa"/>
              <w:left w:w="15" w:type="dxa"/>
              <w:right w:w="15" w:type="dxa"/>
            </w:tcMar>
            <w:vAlign w:val="center"/>
          </w:tcPr>
          <w:p w:rsidR="00586BCE" w:rsidRDefault="00586BCE">
            <w:pPr>
              <w:rPr>
                <w:rFonts w:ascii="宋体" w:eastAsia="宋体" w:hAnsi="宋体" w:cs="宋体"/>
                <w:color w:val="000000"/>
                <w:sz w:val="24"/>
                <w:szCs w:val="24"/>
              </w:rPr>
            </w:pPr>
          </w:p>
        </w:tc>
        <w:tc>
          <w:tcPr>
            <w:tcW w:w="1437" w:type="dxa"/>
            <w:tcBorders>
              <w:top w:val="nil"/>
              <w:left w:val="nil"/>
              <w:bottom w:val="nil"/>
              <w:right w:val="nil"/>
            </w:tcBorders>
            <w:shd w:val="clear" w:color="auto" w:fill="auto"/>
            <w:noWrap/>
            <w:tcMar>
              <w:top w:w="15" w:type="dxa"/>
              <w:left w:w="15" w:type="dxa"/>
              <w:right w:w="15" w:type="dxa"/>
            </w:tcMar>
            <w:vAlign w:val="center"/>
          </w:tcPr>
          <w:p w:rsidR="00586BCE" w:rsidRDefault="00586BCE">
            <w:pPr>
              <w:widowControl/>
              <w:jc w:val="left"/>
              <w:textAlignment w:val="center"/>
              <w:rPr>
                <w:rFonts w:ascii="宋体" w:eastAsia="宋体" w:hAnsi="宋体" w:cs="宋体"/>
                <w:color w:val="000000"/>
                <w:sz w:val="24"/>
                <w:szCs w:val="24"/>
              </w:rPr>
            </w:pPr>
          </w:p>
        </w:tc>
        <w:tc>
          <w:tcPr>
            <w:tcW w:w="4886" w:type="dxa"/>
            <w:tcBorders>
              <w:top w:val="nil"/>
              <w:left w:val="nil"/>
              <w:bottom w:val="nil"/>
              <w:right w:val="nil"/>
            </w:tcBorders>
            <w:shd w:val="clear" w:color="auto" w:fill="auto"/>
            <w:noWrap/>
            <w:tcMar>
              <w:top w:w="15" w:type="dxa"/>
              <w:left w:w="15" w:type="dxa"/>
              <w:right w:w="15" w:type="dxa"/>
            </w:tcMar>
            <w:vAlign w:val="center"/>
          </w:tcPr>
          <w:p w:rsidR="00586BCE" w:rsidRDefault="002C31AB">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检查人员：</w:t>
            </w:r>
          </w:p>
        </w:tc>
        <w:tc>
          <w:tcPr>
            <w:tcW w:w="2608" w:type="dxa"/>
            <w:tcBorders>
              <w:top w:val="nil"/>
              <w:left w:val="nil"/>
              <w:bottom w:val="nil"/>
              <w:right w:val="nil"/>
            </w:tcBorders>
            <w:shd w:val="clear" w:color="auto" w:fill="auto"/>
            <w:noWrap/>
            <w:tcMar>
              <w:top w:w="15" w:type="dxa"/>
              <w:left w:w="15" w:type="dxa"/>
              <w:right w:w="15" w:type="dxa"/>
            </w:tcMar>
            <w:vAlign w:val="center"/>
          </w:tcPr>
          <w:p w:rsidR="00586BCE" w:rsidRDefault="002C31AB">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检查时间：</w:t>
            </w:r>
          </w:p>
        </w:tc>
      </w:tr>
    </w:tbl>
    <w:p w:rsidR="00586BCE" w:rsidRDefault="00586BCE">
      <w:pPr>
        <w:ind w:firstLineChars="200" w:firstLine="640"/>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Default="00586BCE">
      <w:pPr>
        <w:rPr>
          <w:rFonts w:ascii="仿宋_GB2312" w:eastAsia="仿宋_GB2312" w:hAnsi="仿宋" w:cs="仿宋"/>
          <w:sz w:val="32"/>
          <w:szCs w:val="32"/>
        </w:rPr>
      </w:pPr>
    </w:p>
    <w:p w:rsidR="00586BCE" w:rsidRDefault="00586BCE">
      <w:pPr>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Default="00586BCE">
      <w:pPr>
        <w:ind w:firstLineChars="200" w:firstLine="640"/>
        <w:rPr>
          <w:rFonts w:ascii="仿宋_GB2312" w:eastAsia="仿宋_GB2312" w:hAnsi="仿宋" w:cs="仿宋"/>
          <w:sz w:val="32"/>
          <w:szCs w:val="32"/>
        </w:rPr>
      </w:pPr>
    </w:p>
    <w:p w:rsidR="00586BCE" w:rsidRDefault="00586BCE">
      <w:pPr>
        <w:widowControl/>
        <w:jc w:val="left"/>
        <w:rPr>
          <w:rFonts w:ascii="黑体" w:eastAsia="黑体" w:hAnsi="仿宋" w:cs="仿宋"/>
          <w:sz w:val="32"/>
          <w:szCs w:val="32"/>
        </w:rPr>
      </w:pPr>
    </w:p>
    <w:p w:rsidR="00586BCE" w:rsidRDefault="00586BCE">
      <w:pPr>
        <w:widowControl/>
        <w:jc w:val="left"/>
        <w:rPr>
          <w:rFonts w:ascii="方正小标宋_GBK" w:eastAsia="方正小标宋_GBK" w:hAnsi="方正小标宋_GBK" w:cs="方正小标宋_GBK"/>
          <w:sz w:val="36"/>
          <w:szCs w:val="36"/>
        </w:rPr>
      </w:pPr>
    </w:p>
    <w:p w:rsidR="00586BCE" w:rsidRDefault="00586BCE">
      <w:pPr>
        <w:spacing w:line="360" w:lineRule="auto"/>
        <w:jc w:val="center"/>
        <w:rPr>
          <w:rFonts w:ascii="方正小标宋_GBK" w:eastAsia="方正小标宋_GBK" w:hAnsi="方正小标宋_GBK" w:cs="方正小标宋_GBK"/>
          <w:sz w:val="36"/>
          <w:szCs w:val="36"/>
        </w:rPr>
      </w:pPr>
    </w:p>
    <w:p w:rsidR="00586BCE" w:rsidRDefault="00586BCE">
      <w:pPr>
        <w:rPr>
          <w:rFonts w:ascii="Times New Roman" w:eastAsia="方正仿宋_GBK" w:hAnsi="Times New Roman" w:cs="Times New Roman"/>
          <w:sz w:val="32"/>
          <w:szCs w:val="32"/>
        </w:rPr>
      </w:pPr>
    </w:p>
    <w:p w:rsidR="00586BCE" w:rsidRDefault="00586BCE">
      <w:pPr>
        <w:ind w:firstLineChars="200" w:firstLine="640"/>
        <w:rPr>
          <w:rFonts w:ascii="Times New Roman" w:eastAsia="方正仿宋_GBK" w:hAnsi="Times New Roman" w:cs="Times New Roman"/>
          <w:sz w:val="32"/>
          <w:szCs w:val="32"/>
        </w:rPr>
      </w:pPr>
    </w:p>
    <w:p w:rsidR="00586BCE" w:rsidRDefault="00586BCE">
      <w:pPr>
        <w:ind w:firstLineChars="200" w:firstLine="640"/>
        <w:rPr>
          <w:rFonts w:ascii="Times New Roman" w:eastAsia="方正仿宋_GBK" w:hAnsi="Times New Roman" w:cs="Times New Roman"/>
          <w:sz w:val="32"/>
          <w:szCs w:val="32"/>
        </w:rPr>
      </w:pPr>
    </w:p>
    <w:p w:rsidR="00586BCE" w:rsidRDefault="00586BCE">
      <w:pPr>
        <w:ind w:firstLineChars="200" w:firstLine="640"/>
        <w:rPr>
          <w:rFonts w:ascii="Times New Roman" w:eastAsia="方正仿宋_GBK" w:hAnsi="Times New Roman" w:cs="Times New Roman"/>
          <w:sz w:val="32"/>
          <w:szCs w:val="32"/>
        </w:rPr>
      </w:pPr>
    </w:p>
    <w:p w:rsidR="00586BCE" w:rsidRDefault="00586BCE">
      <w:pPr>
        <w:ind w:firstLineChars="200" w:firstLine="640"/>
        <w:rPr>
          <w:rFonts w:ascii="Times New Roman" w:eastAsia="方正仿宋_GBK" w:hAnsi="Times New Roman" w:cs="Times New Roman"/>
          <w:sz w:val="32"/>
          <w:szCs w:val="32"/>
        </w:rPr>
      </w:pPr>
    </w:p>
    <w:p w:rsidR="00586BCE" w:rsidRDefault="00586BCE">
      <w:pPr>
        <w:ind w:firstLineChars="200" w:firstLine="640"/>
        <w:rPr>
          <w:rFonts w:ascii="Times New Roman" w:eastAsia="方正仿宋_GBK" w:hAnsi="Times New Roman" w:cs="Times New Roman"/>
          <w:sz w:val="32"/>
          <w:szCs w:val="32"/>
        </w:rPr>
      </w:pPr>
    </w:p>
    <w:p w:rsidR="00635DEF" w:rsidRDefault="00635DEF">
      <w:pPr>
        <w:ind w:firstLineChars="200" w:firstLine="640"/>
        <w:rPr>
          <w:rFonts w:ascii="Times New Roman" w:eastAsia="方正仿宋_GBK" w:hAnsi="Times New Roman" w:cs="Times New Roman"/>
          <w:sz w:val="32"/>
          <w:szCs w:val="32"/>
        </w:rPr>
      </w:pPr>
    </w:p>
    <w:p w:rsidR="00635DEF" w:rsidRDefault="00635DEF">
      <w:pPr>
        <w:ind w:firstLineChars="200" w:firstLine="640"/>
        <w:rPr>
          <w:rFonts w:ascii="Times New Roman" w:eastAsia="方正仿宋_GBK" w:hAnsi="Times New Roman" w:cs="Times New Roman"/>
          <w:sz w:val="32"/>
          <w:szCs w:val="32"/>
        </w:rPr>
      </w:pPr>
    </w:p>
    <w:p w:rsidR="00D6387C" w:rsidRDefault="00D6387C">
      <w:pPr>
        <w:ind w:firstLineChars="200" w:firstLine="640"/>
        <w:rPr>
          <w:rFonts w:ascii="Times New Roman" w:eastAsia="方正仿宋_GBK" w:hAnsi="Times New Roman" w:cs="Times New Roman" w:hint="eastAsia"/>
          <w:sz w:val="32"/>
          <w:szCs w:val="32"/>
        </w:rPr>
      </w:pPr>
    </w:p>
    <w:p w:rsidR="00D6387C" w:rsidRPr="006D545C" w:rsidRDefault="00D6387C" w:rsidP="00D6387C">
      <w:pPr>
        <w:ind w:firstLine="420"/>
        <w:rPr>
          <w:rFonts w:ascii="Calibri" w:hAnsi="Calibri"/>
        </w:rPr>
      </w:pPr>
      <w:r w:rsidRPr="006D545C">
        <w:rPr>
          <w:rFonts w:ascii="仿宋_GB2312" w:eastAsia="仿宋_GB2312" w:hAnsi="Calibri" w:hint="eastAsia"/>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155575</wp:posOffset>
                </wp:positionV>
                <wp:extent cx="5562600" cy="0"/>
                <wp:effectExtent l="19050" t="17145" r="19050"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72C8"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2.25pt" to="441.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" strokeweight="1.75pt"/>
            </w:pict>
          </mc:Fallback>
        </mc:AlternateContent>
      </w:r>
    </w:p>
    <w:p w:rsidR="00635DEF" w:rsidRDefault="00D6387C" w:rsidP="00D6387C">
      <w:pPr>
        <w:ind w:firstLineChars="100" w:firstLine="280"/>
        <w:rPr>
          <w:rFonts w:ascii="Times New Roman" w:eastAsia="方正仿宋_GBK" w:hAnsi="Times New Roman" w:cs="Times New Roman" w:hint="eastAsia"/>
          <w:sz w:val="32"/>
          <w:szCs w:val="32"/>
        </w:rPr>
      </w:pPr>
      <w:r w:rsidRPr="006D545C">
        <w:rPr>
          <w:rFonts w:ascii="仿宋_GB2312" w:eastAsia="仿宋_GB2312" w:hAnsi="Calibri" w:hint="eastAsia"/>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382270</wp:posOffset>
                </wp:positionV>
                <wp:extent cx="5562600" cy="3810"/>
                <wp:effectExtent l="19050" t="13335" r="1905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0" cy="381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BAC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0.1pt" to="441.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" strokeweight="1.75pt"/>
            </w:pict>
          </mc:Fallback>
        </mc:AlternateContent>
      </w:r>
      <w:r w:rsidRPr="006D545C">
        <w:rPr>
          <w:rFonts w:ascii="仿宋_GB2312" w:eastAsia="仿宋_GB2312" w:hAnsi="仿宋" w:cs="仿宋_GB2312" w:hint="eastAsia"/>
          <w:bCs/>
          <w:sz w:val="28"/>
          <w:szCs w:val="28"/>
        </w:rPr>
        <w:t xml:space="preserve">如东县洋口镇党政办公室       </w:t>
      </w:r>
      <w:r w:rsidRPr="006D545C">
        <w:rPr>
          <w:rFonts w:ascii="仿宋_GB2312" w:eastAsia="仿宋_GB2312" w:hAnsi="仿宋" w:cs="仿宋_GB2312"/>
          <w:bCs/>
          <w:sz w:val="28"/>
          <w:szCs w:val="28"/>
        </w:rPr>
        <w:t xml:space="preserve">  </w:t>
      </w:r>
      <w:r w:rsidRPr="006D545C">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sidRPr="006D545C">
        <w:rPr>
          <w:rFonts w:ascii="仿宋_GB2312" w:eastAsia="仿宋_GB2312" w:hAnsi="仿宋" w:cs="仿宋_GB2312" w:hint="eastAsia"/>
          <w:bCs/>
          <w:sz w:val="28"/>
          <w:szCs w:val="28"/>
        </w:rPr>
        <w:t xml:space="preserve">      202</w:t>
      </w:r>
      <w:r w:rsidRPr="006D545C">
        <w:rPr>
          <w:rFonts w:ascii="仿宋_GB2312" w:eastAsia="仿宋_GB2312" w:hAnsi="仿宋" w:cs="仿宋_GB2312"/>
          <w:bCs/>
          <w:sz w:val="28"/>
          <w:szCs w:val="28"/>
        </w:rPr>
        <w:t>1</w:t>
      </w:r>
      <w:r w:rsidRPr="006D545C">
        <w:rPr>
          <w:rFonts w:ascii="仿宋_GB2312" w:eastAsia="仿宋_GB2312" w:hAnsi="仿宋" w:cs="仿宋_GB2312" w:hint="eastAsia"/>
          <w:bCs/>
          <w:sz w:val="28"/>
          <w:szCs w:val="28"/>
        </w:rPr>
        <w:t>年</w:t>
      </w:r>
      <w:r w:rsidRPr="006D545C">
        <w:rPr>
          <w:rFonts w:ascii="仿宋_GB2312" w:eastAsia="仿宋_GB2312" w:hAnsi="仿宋" w:cs="仿宋_GB2312"/>
          <w:bCs/>
          <w:sz w:val="28"/>
          <w:szCs w:val="28"/>
        </w:rPr>
        <w:t>3</w:t>
      </w:r>
      <w:r w:rsidRPr="006D545C">
        <w:rPr>
          <w:rFonts w:ascii="仿宋_GB2312" w:eastAsia="仿宋_GB2312" w:hAnsi="仿宋" w:cs="仿宋_GB2312" w:hint="eastAsia"/>
          <w:bCs/>
          <w:sz w:val="28"/>
          <w:szCs w:val="28"/>
        </w:rPr>
        <w:t>月</w:t>
      </w:r>
      <w:r>
        <w:rPr>
          <w:rFonts w:ascii="仿宋_GB2312" w:eastAsia="仿宋_GB2312" w:hAnsi="仿宋" w:cs="仿宋_GB2312"/>
          <w:bCs/>
          <w:sz w:val="28"/>
          <w:szCs w:val="28"/>
        </w:rPr>
        <w:t>5</w:t>
      </w:r>
      <w:r w:rsidRPr="006D545C">
        <w:rPr>
          <w:rFonts w:ascii="仿宋_GB2312" w:eastAsia="仿宋_GB2312" w:hAnsi="仿宋" w:cs="仿宋_GB2312" w:hint="eastAsia"/>
          <w:bCs/>
          <w:sz w:val="28"/>
          <w:szCs w:val="28"/>
        </w:rPr>
        <w:t>日印发</w:t>
      </w:r>
    </w:p>
    <w:sectPr w:rsidR="00635DEF" w:rsidSect="00635DEF">
      <w:footerReference w:type="even" r:id="rId7"/>
      <w:footerReference w:type="default" r:id="rId8"/>
      <w:pgSz w:w="11907" w:h="16840" w:code="9"/>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AB" w:rsidRDefault="002C31AB">
      <w:r>
        <w:separator/>
      </w:r>
    </w:p>
  </w:endnote>
  <w:endnote w:type="continuationSeparator" w:id="0">
    <w:p w:rsidR="002C31AB" w:rsidRDefault="002C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527686"/>
      <w:docPartObj>
        <w:docPartGallery w:val="Page Numbers (Bottom of Page)"/>
        <w:docPartUnique/>
      </w:docPartObj>
    </w:sdtPr>
    <w:sdtEndPr>
      <w:rPr>
        <w:sz w:val="28"/>
      </w:rPr>
    </w:sdtEndPr>
    <w:sdtContent>
      <w:p w:rsidR="00635DEF" w:rsidRPr="00635DEF" w:rsidRDefault="00635DEF">
        <w:pPr>
          <w:pStyle w:val="a3"/>
          <w:rPr>
            <w:sz w:val="28"/>
          </w:rPr>
        </w:pPr>
        <w:r w:rsidRPr="00635DEF">
          <w:rPr>
            <w:sz w:val="28"/>
          </w:rPr>
          <w:t>-</w:t>
        </w:r>
        <w:r w:rsidRPr="00635DEF">
          <w:rPr>
            <w:sz w:val="28"/>
          </w:rPr>
          <w:fldChar w:fldCharType="begin"/>
        </w:r>
        <w:r w:rsidRPr="00635DEF">
          <w:rPr>
            <w:sz w:val="28"/>
          </w:rPr>
          <w:instrText>PAGE   \* MERGEFORMAT</w:instrText>
        </w:r>
        <w:r w:rsidRPr="00635DEF">
          <w:rPr>
            <w:sz w:val="28"/>
          </w:rPr>
          <w:fldChar w:fldCharType="separate"/>
        </w:r>
        <w:r w:rsidR="00D6387C" w:rsidRPr="00D6387C">
          <w:rPr>
            <w:noProof/>
            <w:sz w:val="28"/>
            <w:lang w:val="zh-CN"/>
          </w:rPr>
          <w:t>10</w:t>
        </w:r>
        <w:r w:rsidRPr="00635DEF">
          <w:rPr>
            <w:sz w:val="28"/>
          </w:rPr>
          <w:fldChar w:fldCharType="end"/>
        </w:r>
        <w:r w:rsidRPr="00635DEF">
          <w:rPr>
            <w:sz w:val="28"/>
          </w:rPr>
          <w:t>-</w:t>
        </w:r>
      </w:p>
    </w:sdtContent>
  </w:sdt>
  <w:p w:rsidR="00635DEF" w:rsidRDefault="00635D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802241"/>
      <w:docPartObj>
        <w:docPartGallery w:val="Page Numbers (Bottom of Page)"/>
        <w:docPartUnique/>
      </w:docPartObj>
    </w:sdtPr>
    <w:sdtEndPr>
      <w:rPr>
        <w:sz w:val="28"/>
      </w:rPr>
    </w:sdtEndPr>
    <w:sdtContent>
      <w:p w:rsidR="00635DEF" w:rsidRPr="00635DEF" w:rsidRDefault="00635DEF">
        <w:pPr>
          <w:pStyle w:val="a3"/>
          <w:jc w:val="right"/>
          <w:rPr>
            <w:sz w:val="28"/>
          </w:rPr>
        </w:pPr>
        <w:r w:rsidRPr="00635DEF">
          <w:rPr>
            <w:sz w:val="28"/>
          </w:rPr>
          <w:t>-</w:t>
        </w:r>
        <w:r w:rsidRPr="00635DEF">
          <w:rPr>
            <w:sz w:val="28"/>
          </w:rPr>
          <w:fldChar w:fldCharType="begin"/>
        </w:r>
        <w:r w:rsidRPr="00635DEF">
          <w:rPr>
            <w:sz w:val="28"/>
          </w:rPr>
          <w:instrText>PAGE   \* MERGEFORMAT</w:instrText>
        </w:r>
        <w:r w:rsidRPr="00635DEF">
          <w:rPr>
            <w:sz w:val="28"/>
          </w:rPr>
          <w:fldChar w:fldCharType="separate"/>
        </w:r>
        <w:r w:rsidR="00D6387C" w:rsidRPr="00D6387C">
          <w:rPr>
            <w:noProof/>
            <w:sz w:val="28"/>
            <w:lang w:val="zh-CN"/>
          </w:rPr>
          <w:t>9</w:t>
        </w:r>
        <w:r w:rsidRPr="00635DEF">
          <w:rPr>
            <w:sz w:val="28"/>
          </w:rPr>
          <w:fldChar w:fldCharType="end"/>
        </w:r>
        <w:r w:rsidRPr="00635DEF">
          <w:rPr>
            <w:sz w:val="28"/>
          </w:rPr>
          <w:t>-</w:t>
        </w:r>
      </w:p>
    </w:sdtContent>
  </w:sdt>
  <w:p w:rsidR="00586BCE" w:rsidRDefault="00586B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AB" w:rsidRDefault="002C31AB">
      <w:r>
        <w:separator/>
      </w:r>
    </w:p>
  </w:footnote>
  <w:footnote w:type="continuationSeparator" w:id="0">
    <w:p w:rsidR="002C31AB" w:rsidRDefault="002C3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39"/>
    <w:rsid w:val="000364FD"/>
    <w:rsid w:val="001009C0"/>
    <w:rsid w:val="001D7BFD"/>
    <w:rsid w:val="002C31AB"/>
    <w:rsid w:val="002D2775"/>
    <w:rsid w:val="002E723C"/>
    <w:rsid w:val="003F2AFB"/>
    <w:rsid w:val="004247A8"/>
    <w:rsid w:val="004A0310"/>
    <w:rsid w:val="00586BCE"/>
    <w:rsid w:val="005E57E3"/>
    <w:rsid w:val="00635DEF"/>
    <w:rsid w:val="006462DD"/>
    <w:rsid w:val="00713F2B"/>
    <w:rsid w:val="007B11B9"/>
    <w:rsid w:val="007E4D66"/>
    <w:rsid w:val="00811B3C"/>
    <w:rsid w:val="0087429B"/>
    <w:rsid w:val="008A1AA6"/>
    <w:rsid w:val="00903EB1"/>
    <w:rsid w:val="009C6D4E"/>
    <w:rsid w:val="009D0848"/>
    <w:rsid w:val="009F3B55"/>
    <w:rsid w:val="00AA2AE7"/>
    <w:rsid w:val="00AA4BD0"/>
    <w:rsid w:val="00B03A94"/>
    <w:rsid w:val="00B763AE"/>
    <w:rsid w:val="00C1658B"/>
    <w:rsid w:val="00C35939"/>
    <w:rsid w:val="00CA0133"/>
    <w:rsid w:val="00CB0730"/>
    <w:rsid w:val="00CC482E"/>
    <w:rsid w:val="00D228DC"/>
    <w:rsid w:val="00D26B7D"/>
    <w:rsid w:val="00D36AE8"/>
    <w:rsid w:val="00D6387C"/>
    <w:rsid w:val="00DA7948"/>
    <w:rsid w:val="00DC5550"/>
    <w:rsid w:val="00E124F3"/>
    <w:rsid w:val="00E5397C"/>
    <w:rsid w:val="00FD605F"/>
    <w:rsid w:val="03B27894"/>
    <w:rsid w:val="055A56D3"/>
    <w:rsid w:val="07B2250B"/>
    <w:rsid w:val="07D65799"/>
    <w:rsid w:val="0A2506A1"/>
    <w:rsid w:val="0B542881"/>
    <w:rsid w:val="0B841D00"/>
    <w:rsid w:val="0C4C4413"/>
    <w:rsid w:val="0CAA6166"/>
    <w:rsid w:val="0DF331A4"/>
    <w:rsid w:val="0FEF611B"/>
    <w:rsid w:val="101E52FB"/>
    <w:rsid w:val="10922AE7"/>
    <w:rsid w:val="111C2115"/>
    <w:rsid w:val="11871D5E"/>
    <w:rsid w:val="11BC4013"/>
    <w:rsid w:val="124A5C23"/>
    <w:rsid w:val="15DC7667"/>
    <w:rsid w:val="161640DB"/>
    <w:rsid w:val="173E34F4"/>
    <w:rsid w:val="174A6357"/>
    <w:rsid w:val="17FF1DC6"/>
    <w:rsid w:val="19A1001F"/>
    <w:rsid w:val="19DE729D"/>
    <w:rsid w:val="1BBB0003"/>
    <w:rsid w:val="1C6A4E01"/>
    <w:rsid w:val="21D324A3"/>
    <w:rsid w:val="24BF3553"/>
    <w:rsid w:val="24E34537"/>
    <w:rsid w:val="2A5816EC"/>
    <w:rsid w:val="2BC465AC"/>
    <w:rsid w:val="2E1568FD"/>
    <w:rsid w:val="2F903DE3"/>
    <w:rsid w:val="310A551B"/>
    <w:rsid w:val="31437651"/>
    <w:rsid w:val="337B1647"/>
    <w:rsid w:val="34495302"/>
    <w:rsid w:val="347402C8"/>
    <w:rsid w:val="3A3B4BA3"/>
    <w:rsid w:val="3C180955"/>
    <w:rsid w:val="3C7E4C6B"/>
    <w:rsid w:val="3E1514D8"/>
    <w:rsid w:val="3FBD01FF"/>
    <w:rsid w:val="4120169C"/>
    <w:rsid w:val="41B00FE1"/>
    <w:rsid w:val="430E7029"/>
    <w:rsid w:val="433A1E33"/>
    <w:rsid w:val="43930E4E"/>
    <w:rsid w:val="444F64A0"/>
    <w:rsid w:val="44B40B0C"/>
    <w:rsid w:val="44DA66A1"/>
    <w:rsid w:val="46D13737"/>
    <w:rsid w:val="478605D3"/>
    <w:rsid w:val="490D5C06"/>
    <w:rsid w:val="499956A3"/>
    <w:rsid w:val="4CDC2138"/>
    <w:rsid w:val="4E1E0957"/>
    <w:rsid w:val="51721653"/>
    <w:rsid w:val="51DF7DDD"/>
    <w:rsid w:val="52E4183E"/>
    <w:rsid w:val="536039F7"/>
    <w:rsid w:val="53844325"/>
    <w:rsid w:val="546E69F4"/>
    <w:rsid w:val="548F4CC4"/>
    <w:rsid w:val="569A03DB"/>
    <w:rsid w:val="573E4458"/>
    <w:rsid w:val="57BB1513"/>
    <w:rsid w:val="590469EB"/>
    <w:rsid w:val="5B626C52"/>
    <w:rsid w:val="5BB0007B"/>
    <w:rsid w:val="5BBC337E"/>
    <w:rsid w:val="5E006007"/>
    <w:rsid w:val="5E4F0F57"/>
    <w:rsid w:val="624D39E6"/>
    <w:rsid w:val="628E079A"/>
    <w:rsid w:val="628F0828"/>
    <w:rsid w:val="657F33AD"/>
    <w:rsid w:val="660E51FD"/>
    <w:rsid w:val="67EE412D"/>
    <w:rsid w:val="68C5398C"/>
    <w:rsid w:val="69991137"/>
    <w:rsid w:val="6AEF0A69"/>
    <w:rsid w:val="6DE87E38"/>
    <w:rsid w:val="6E6F42C0"/>
    <w:rsid w:val="6F2B4200"/>
    <w:rsid w:val="705178AA"/>
    <w:rsid w:val="70AC6E11"/>
    <w:rsid w:val="73103F8E"/>
    <w:rsid w:val="751A3F43"/>
    <w:rsid w:val="76341CD8"/>
    <w:rsid w:val="78025230"/>
    <w:rsid w:val="798C095F"/>
    <w:rsid w:val="7BAA5E1D"/>
    <w:rsid w:val="7BC96552"/>
    <w:rsid w:val="7D46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46E2EB-2838-4016-8010-9A288ABA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ListParagraph1">
    <w:name w:val="List Paragraph1"/>
    <w:basedOn w:val="a"/>
    <w:qFormat/>
    <w:pPr>
      <w:ind w:firstLineChars="200" w:firstLine="420"/>
    </w:pPr>
  </w:style>
  <w:style w:type="character" w:customStyle="1" w:styleId="font01">
    <w:name w:val="font01"/>
    <w:basedOn w:val="a0"/>
    <w:qFormat/>
    <w:rPr>
      <w:rFonts w:ascii="宋体" w:eastAsia="宋体" w:hAnsi="宋体" w:cs="宋体" w:hint="eastAsia"/>
      <w:color w:val="000000"/>
      <w:sz w:val="24"/>
      <w:szCs w:val="24"/>
      <w:u w:val="none"/>
    </w:rPr>
  </w:style>
  <w:style w:type="paragraph" w:styleId="a6">
    <w:name w:val="Balloon Text"/>
    <w:basedOn w:val="a"/>
    <w:link w:val="Char1"/>
    <w:uiPriority w:val="99"/>
    <w:semiHidden/>
    <w:unhideWhenUsed/>
    <w:rsid w:val="00D6387C"/>
    <w:rPr>
      <w:sz w:val="18"/>
      <w:szCs w:val="18"/>
    </w:rPr>
  </w:style>
  <w:style w:type="character" w:customStyle="1" w:styleId="Char1">
    <w:name w:val="批注框文本 Char"/>
    <w:basedOn w:val="a0"/>
    <w:link w:val="a6"/>
    <w:uiPriority w:val="99"/>
    <w:semiHidden/>
    <w:rsid w:val="00D638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 政</dc:creator>
  <cp:lastModifiedBy>lenovo</cp:lastModifiedBy>
  <cp:revision>4</cp:revision>
  <cp:lastPrinted>2021-03-23T02:29:00Z</cp:lastPrinted>
  <dcterms:created xsi:type="dcterms:W3CDTF">2021-02-22T02:14:00Z</dcterms:created>
  <dcterms:modified xsi:type="dcterms:W3CDTF">2021-03-23T02:29:00Z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