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如东县气象局采购</w:t>
      </w:r>
    </w:p>
    <w:p>
      <w:pPr>
        <w:jc w:val="center"/>
        <w:rPr>
          <w:rFonts w:ascii="宋体" w:hAnsi="宋体"/>
          <w:b/>
          <w:sz w:val="100"/>
          <w:szCs w:val="100"/>
        </w:rPr>
      </w:pPr>
      <w:r>
        <w:rPr>
          <w:rFonts w:hint="eastAsia" w:ascii="宋体" w:hAnsi="宋体"/>
          <w:b/>
          <w:sz w:val="84"/>
          <w:szCs w:val="84"/>
        </w:rPr>
        <w:t>招标文件</w:t>
      </w: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auto"/>
        <w:ind w:left="1600" w:hanging="1600" w:hangingChars="500"/>
        <w:rPr>
          <w:rFonts w:ascii="宋体" w:hAnsi="宋体" w:cs="宋体"/>
          <w:sz w:val="32"/>
          <w:szCs w:val="32"/>
          <w:u w:val="single"/>
        </w:rPr>
      </w:pPr>
      <w:r>
        <w:rPr>
          <w:rFonts w:hint="eastAsia" w:ascii="宋体" w:hAnsi="宋体"/>
          <w:sz w:val="32"/>
          <w:szCs w:val="32"/>
        </w:rPr>
        <w:t>项目名称：</w:t>
      </w:r>
      <w:r>
        <w:rPr>
          <w:rFonts w:hint="eastAsia" w:ascii="宋体" w:hAnsi="宋体" w:cs="宋体"/>
          <w:sz w:val="32"/>
          <w:szCs w:val="32"/>
          <w:highlight w:val="none"/>
          <w:u w:val="single"/>
        </w:rPr>
        <w:t>如东区域自动气象站加密项目</w:t>
      </w:r>
    </w:p>
    <w:p>
      <w:pPr>
        <w:spacing w:line="600" w:lineRule="auto"/>
        <w:rPr>
          <w:rFonts w:ascii="宋体" w:hAnsi="宋体" w:cs="宋体"/>
          <w:sz w:val="32"/>
          <w:szCs w:val="32"/>
          <w:u w:val="single"/>
        </w:rPr>
      </w:pPr>
      <w:r>
        <w:rPr>
          <w:rFonts w:hint="eastAsia" w:ascii="宋体" w:hAnsi="宋体"/>
          <w:sz w:val="32"/>
          <w:szCs w:val="32"/>
        </w:rPr>
        <w:t>采购单位：</w:t>
      </w:r>
      <w:r>
        <w:rPr>
          <w:rFonts w:hint="eastAsia" w:ascii="宋体" w:hAnsi="宋体" w:cs="宋体"/>
          <w:sz w:val="32"/>
          <w:szCs w:val="32"/>
          <w:u w:val="single"/>
        </w:rPr>
        <w:t>如东县气象局</w:t>
      </w:r>
    </w:p>
    <w:p>
      <w:pPr>
        <w:spacing w:line="600" w:lineRule="auto"/>
        <w:rPr>
          <w:rFonts w:ascii="宋体" w:hAnsi="宋体"/>
          <w:sz w:val="32"/>
          <w:szCs w:val="32"/>
        </w:rPr>
      </w:pPr>
    </w:p>
    <w:p>
      <w:pPr>
        <w:pStyle w:val="10"/>
        <w:rPr>
          <w:rFonts w:ascii="宋体" w:hAnsi="宋体"/>
        </w:rPr>
      </w:pPr>
    </w:p>
    <w:p>
      <w:pPr>
        <w:spacing w:line="360" w:lineRule="exact"/>
        <w:rPr>
          <w:rFonts w:ascii="宋体" w:hAnsi="宋体"/>
          <w:sz w:val="30"/>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spacing w:line="360" w:lineRule="auto"/>
        <w:ind w:right="2696" w:rightChars="1284" w:firstLine="2462" w:firstLineChars="829"/>
        <w:jc w:val="center"/>
        <w:rPr>
          <w:rFonts w:ascii="宋体" w:hAnsi="宋体"/>
          <w:b/>
          <w:bCs/>
          <w:spacing w:val="28"/>
          <w:kern w:val="0"/>
          <w:sz w:val="24"/>
          <w:szCs w:val="24"/>
        </w:rPr>
      </w:pPr>
      <w:r>
        <w:rPr>
          <w:rFonts w:hint="eastAsia" w:ascii="宋体" w:hAnsi="宋体"/>
          <w:b/>
          <w:bCs/>
          <w:spacing w:val="28"/>
          <w:kern w:val="0"/>
          <w:sz w:val="24"/>
          <w:szCs w:val="24"/>
        </w:rPr>
        <w:t xml:space="preserve"> 如东县气象局</w:t>
      </w:r>
    </w:p>
    <w:p>
      <w:pPr>
        <w:spacing w:line="360" w:lineRule="auto"/>
        <w:ind w:right="2696" w:rightChars="1284" w:firstLine="2530" w:firstLineChars="900"/>
        <w:jc w:val="center"/>
        <w:rPr>
          <w:rFonts w:ascii="宋体" w:hAnsi="宋体"/>
          <w:b/>
          <w:bCs/>
          <w:sz w:val="28"/>
          <w:szCs w:val="28"/>
        </w:rPr>
      </w:pPr>
      <w:r>
        <w:rPr>
          <w:rFonts w:hint="eastAsia" w:ascii="宋体" w:hAnsi="宋体"/>
          <w:b/>
          <w:bCs/>
          <w:sz w:val="28"/>
          <w:szCs w:val="28"/>
          <w:u w:val="single"/>
        </w:rPr>
        <w:t>二○二五</w:t>
      </w:r>
      <w:r>
        <w:rPr>
          <w:rFonts w:hint="eastAsia" w:ascii="宋体" w:hAnsi="宋体"/>
          <w:b/>
          <w:bCs/>
          <w:sz w:val="28"/>
          <w:szCs w:val="28"/>
        </w:rPr>
        <w:t>年</w:t>
      </w:r>
      <w:r>
        <w:rPr>
          <w:rFonts w:hint="eastAsia" w:ascii="宋体" w:hAnsi="宋体"/>
          <w:b/>
          <w:bCs/>
          <w:sz w:val="28"/>
          <w:szCs w:val="28"/>
          <w:u w:val="single"/>
        </w:rPr>
        <w:t xml:space="preserve"> 七 </w:t>
      </w:r>
      <w:r>
        <w:rPr>
          <w:rFonts w:hint="eastAsia" w:ascii="宋体" w:hAnsi="宋体"/>
          <w:b/>
          <w:bCs/>
          <w:sz w:val="28"/>
          <w:szCs w:val="28"/>
        </w:rPr>
        <w:t>月</w:t>
      </w:r>
      <w:r>
        <w:rPr>
          <w:rFonts w:hint="eastAsia" w:ascii="宋体" w:hAnsi="宋体"/>
          <w:b/>
          <w:bCs/>
          <w:sz w:val="28"/>
          <w:szCs w:val="28"/>
          <w:u w:val="single"/>
        </w:rPr>
        <w:t xml:space="preserve"> 九 </w:t>
      </w:r>
      <w:r>
        <w:rPr>
          <w:rFonts w:hint="eastAsia" w:ascii="宋体" w:hAnsi="宋体"/>
          <w:b/>
          <w:bCs/>
          <w:sz w:val="28"/>
          <w:szCs w:val="28"/>
        </w:rPr>
        <w:t>日</w:t>
      </w:r>
    </w:p>
    <w:p>
      <w:pPr>
        <w:adjustRightInd w:val="0"/>
        <w:snapToGrid w:val="0"/>
        <w:ind w:left="-158" w:leftChars="-75"/>
        <w:rPr>
          <w:rFonts w:ascii="宋体" w:hAnsi="宋体"/>
          <w:b/>
          <w:snapToGrid w:val="0"/>
          <w:color w:val="000000"/>
          <w:sz w:val="26"/>
          <w:szCs w:val="28"/>
          <w:u w:val="single"/>
        </w:rPr>
      </w:pPr>
      <w:r>
        <w:rPr>
          <w:rFonts w:hint="eastAsia" w:ascii="宋体" w:hAnsi="宋体"/>
          <w:b/>
          <w:snapToGrid w:val="0"/>
          <w:color w:val="000000"/>
          <w:sz w:val="26"/>
          <w:szCs w:val="28"/>
          <w:u w:val="single"/>
        </w:rPr>
        <w:t xml:space="preserve">                                                                           </w:t>
      </w:r>
    </w:p>
    <w:p>
      <w:pPr>
        <w:adjustRightInd w:val="0"/>
        <w:snapToGrid w:val="0"/>
        <w:ind w:left="-158" w:leftChars="-75" w:firstLine="443" w:firstLineChars="147"/>
        <w:rPr>
          <w:rFonts w:ascii="宋体" w:hAnsi="宋体"/>
          <w:snapToGrid w:val="0"/>
          <w:color w:val="000000"/>
          <w:szCs w:val="21"/>
        </w:rPr>
      </w:pPr>
      <w:r>
        <w:rPr>
          <w:rFonts w:hint="eastAsia" w:ascii="宋体" w:hAnsi="宋体"/>
          <w:b/>
          <w:snapToGrid w:val="0"/>
          <w:color w:val="000000"/>
          <w:sz w:val="30"/>
          <w:szCs w:val="30"/>
        </w:rPr>
        <w:t xml:space="preserve">       </w:t>
      </w:r>
    </w:p>
    <w:p>
      <w:pPr>
        <w:spacing w:line="360" w:lineRule="auto"/>
        <w:jc w:val="center"/>
        <w:rPr>
          <w:rFonts w:ascii="宋体" w:hAnsi="宋体"/>
          <w:b/>
          <w:bCs/>
          <w:sz w:val="44"/>
          <w:szCs w:val="44"/>
        </w:rPr>
      </w:pPr>
    </w:p>
    <w:p>
      <w:pPr>
        <w:spacing w:line="360" w:lineRule="auto"/>
        <w:jc w:val="center"/>
        <w:rPr>
          <w:rFonts w:ascii="宋体" w:hAnsi="宋体"/>
          <w:b/>
          <w:bCs/>
          <w:sz w:val="44"/>
          <w:szCs w:val="44"/>
        </w:rPr>
      </w:pPr>
    </w:p>
    <w:p>
      <w:pPr>
        <w:spacing w:line="360" w:lineRule="auto"/>
        <w:jc w:val="center"/>
        <w:rPr>
          <w:rFonts w:ascii="宋体" w:hAnsi="宋体"/>
          <w:b/>
          <w:bCs/>
          <w:sz w:val="44"/>
          <w:szCs w:val="44"/>
        </w:rPr>
      </w:pPr>
      <w:r>
        <w:rPr>
          <w:rFonts w:hint="eastAsia" w:ascii="宋体" w:hAnsi="宋体"/>
          <w:b/>
          <w:bCs/>
          <w:sz w:val="44"/>
          <w:szCs w:val="44"/>
        </w:rPr>
        <w:t xml:space="preserve">第一部分  </w:t>
      </w:r>
      <w:bookmarkStart w:id="0" w:name="_Toc20564500"/>
      <w:bookmarkStart w:id="1" w:name="_Toc20564588"/>
      <w:bookmarkStart w:id="2" w:name="_Toc20144954"/>
      <w:bookmarkStart w:id="3" w:name="_Toc5575584"/>
      <w:bookmarkStart w:id="4" w:name="_Toc5578647"/>
      <w:bookmarkStart w:id="5" w:name="_Toc20571334"/>
      <w:bookmarkStart w:id="6" w:name="OLE_LINK1"/>
      <w:r>
        <w:rPr>
          <w:rFonts w:hint="eastAsia" w:ascii="宋体" w:hAnsi="宋体"/>
          <w:b/>
          <w:bCs/>
          <w:sz w:val="44"/>
          <w:szCs w:val="44"/>
        </w:rPr>
        <w:t>招标公告</w:t>
      </w:r>
    </w:p>
    <w:bookmarkEnd w:id="0"/>
    <w:bookmarkEnd w:id="1"/>
    <w:bookmarkEnd w:id="2"/>
    <w:bookmarkEnd w:id="3"/>
    <w:bookmarkEnd w:id="4"/>
    <w:bookmarkEnd w:id="5"/>
    <w:p>
      <w:pPr>
        <w:ind w:firstLine="560" w:firstLineChars="200"/>
        <w:rPr>
          <w:rFonts w:ascii="宋体" w:hAnsi="宋体"/>
          <w:sz w:val="28"/>
          <w:szCs w:val="28"/>
        </w:rPr>
      </w:pPr>
    </w:p>
    <w:p>
      <w:pPr>
        <w:ind w:firstLine="560" w:firstLineChars="200"/>
        <w:rPr>
          <w:rFonts w:ascii="宋体" w:hAnsi="宋体"/>
          <w:sz w:val="28"/>
          <w:szCs w:val="28"/>
        </w:rPr>
      </w:pPr>
      <w:r>
        <w:rPr>
          <w:rFonts w:hint="eastAsia" w:ascii="宋体" w:hAnsi="宋体"/>
          <w:sz w:val="28"/>
          <w:szCs w:val="28"/>
        </w:rPr>
        <w:t>根据政府采购相关法律法规的规定，</w:t>
      </w:r>
      <w:r>
        <w:rPr>
          <w:rFonts w:hint="eastAsia" w:ascii="宋体" w:hAnsi="宋体"/>
          <w:sz w:val="28"/>
          <w:szCs w:val="28"/>
          <w:u w:val="single"/>
        </w:rPr>
        <w:t>如东县气象局</w:t>
      </w:r>
      <w:r>
        <w:rPr>
          <w:rFonts w:hint="eastAsia" w:ascii="宋体" w:hAnsi="宋体"/>
          <w:sz w:val="28"/>
          <w:szCs w:val="28"/>
        </w:rPr>
        <w:t>就</w:t>
      </w:r>
      <w:r>
        <w:rPr>
          <w:rFonts w:hint="eastAsia" w:ascii="宋体" w:hAnsi="宋体"/>
          <w:sz w:val="28"/>
          <w:szCs w:val="28"/>
          <w:highlight w:val="none"/>
          <w:u w:val="single"/>
        </w:rPr>
        <w:t>如东区域自动气象站加密项目</w:t>
      </w:r>
      <w:r>
        <w:rPr>
          <w:rFonts w:hint="eastAsia" w:ascii="宋体" w:hAnsi="宋体"/>
          <w:sz w:val="28"/>
          <w:szCs w:val="28"/>
        </w:rPr>
        <w:t>进行</w:t>
      </w:r>
      <w:r>
        <w:rPr>
          <w:rFonts w:hint="eastAsia" w:ascii="宋体" w:hAnsi="宋体"/>
          <w:sz w:val="28"/>
          <w:szCs w:val="28"/>
          <w:u w:val="single"/>
        </w:rPr>
        <w:t>竞争性磋商</w:t>
      </w:r>
      <w:r>
        <w:rPr>
          <w:rFonts w:hint="eastAsia" w:ascii="宋体" w:hAnsi="宋体"/>
          <w:sz w:val="28"/>
          <w:szCs w:val="28"/>
        </w:rPr>
        <w:t>，欢迎符合要求的单位前来参与投标。</w:t>
      </w:r>
    </w:p>
    <w:p>
      <w:pPr>
        <w:pStyle w:val="12"/>
        <w:autoSpaceDE/>
        <w:autoSpaceDN/>
        <w:adjustRightInd/>
        <w:ind w:firstLine="560" w:firstLineChars="200"/>
        <w:jc w:val="both"/>
        <w:rPr>
          <w:rFonts w:hAnsi="宋体"/>
          <w:kern w:val="2"/>
          <w:sz w:val="28"/>
          <w:szCs w:val="28"/>
        </w:rPr>
      </w:pPr>
      <w:r>
        <w:rPr>
          <w:rFonts w:hint="eastAsia" w:hAnsi="宋体"/>
          <w:kern w:val="2"/>
          <w:sz w:val="28"/>
          <w:szCs w:val="28"/>
        </w:rPr>
        <w:t>一、项目名称：</w:t>
      </w:r>
      <w:r>
        <w:rPr>
          <w:rFonts w:hint="eastAsia" w:hAnsi="宋体"/>
          <w:sz w:val="28"/>
          <w:szCs w:val="28"/>
          <w:highlight w:val="none"/>
          <w:u w:val="single"/>
        </w:rPr>
        <w:t>如东区域自动气象站加密项目</w:t>
      </w:r>
    </w:p>
    <w:p>
      <w:pPr>
        <w:pStyle w:val="12"/>
        <w:autoSpaceDE/>
        <w:autoSpaceDN/>
        <w:adjustRightInd/>
        <w:ind w:firstLine="560" w:firstLineChars="200"/>
        <w:jc w:val="both"/>
        <w:rPr>
          <w:rFonts w:hAnsi="宋体"/>
          <w:kern w:val="2"/>
          <w:sz w:val="28"/>
          <w:szCs w:val="28"/>
        </w:rPr>
      </w:pPr>
      <w:r>
        <w:rPr>
          <w:rFonts w:hint="eastAsia" w:hAnsi="宋体"/>
          <w:kern w:val="2"/>
          <w:sz w:val="28"/>
          <w:szCs w:val="28"/>
        </w:rPr>
        <w:t>本项目主要内容简介：具体详见项目需求。</w:t>
      </w:r>
    </w:p>
    <w:p>
      <w:pPr>
        <w:ind w:firstLine="560" w:firstLineChars="200"/>
        <w:rPr>
          <w:rFonts w:ascii="宋体" w:hAnsi="宋体"/>
          <w:sz w:val="28"/>
          <w:szCs w:val="28"/>
        </w:rPr>
      </w:pPr>
      <w:r>
        <w:rPr>
          <w:rFonts w:hint="eastAsia" w:ascii="宋体" w:hAnsi="宋体"/>
          <w:sz w:val="28"/>
          <w:szCs w:val="28"/>
        </w:rPr>
        <w:t>二、</w:t>
      </w:r>
      <w:r>
        <w:rPr>
          <w:rFonts w:hint="eastAsia" w:ascii="宋体" w:hAnsi="宋体"/>
          <w:b/>
          <w:sz w:val="28"/>
          <w:szCs w:val="28"/>
        </w:rPr>
        <w:t>本项目最高限价为人民币26万元 ,</w:t>
      </w:r>
      <w:r>
        <w:rPr>
          <w:rFonts w:hint="eastAsia" w:ascii="宋体" w:hAnsi="宋体"/>
          <w:sz w:val="28"/>
          <w:szCs w:val="28"/>
        </w:rPr>
        <w:t xml:space="preserve">投标报价超过最高限价的视为无效报价。 </w:t>
      </w:r>
    </w:p>
    <w:p>
      <w:pPr>
        <w:widowControl/>
        <w:ind w:firstLine="560" w:firstLineChars="200"/>
        <w:rPr>
          <w:rFonts w:ascii="宋体" w:hAnsi="宋体"/>
          <w:sz w:val="28"/>
          <w:szCs w:val="28"/>
        </w:rPr>
      </w:pPr>
      <w:r>
        <w:rPr>
          <w:rFonts w:hint="eastAsia" w:ascii="宋体" w:hAnsi="宋体"/>
          <w:sz w:val="28"/>
          <w:szCs w:val="28"/>
        </w:rPr>
        <w:t>三、投标供应商的资格要求:</w:t>
      </w:r>
    </w:p>
    <w:p>
      <w:pPr>
        <w:widowControl/>
        <w:ind w:firstLine="560" w:firstLineChars="200"/>
        <w:textAlignment w:val="baseline"/>
        <w:rPr>
          <w:rFonts w:ascii="宋体" w:hAnsi="宋体"/>
          <w:sz w:val="28"/>
          <w:szCs w:val="28"/>
        </w:rPr>
      </w:pPr>
      <w:r>
        <w:rPr>
          <w:rFonts w:hint="eastAsia" w:ascii="宋体" w:hAnsi="宋体"/>
          <w:sz w:val="28"/>
          <w:szCs w:val="28"/>
        </w:rPr>
        <w:t>（一）满足《中华人民共和国政府采购法》第二十二条规定：</w:t>
      </w:r>
    </w:p>
    <w:p>
      <w:pPr>
        <w:widowControl/>
        <w:ind w:firstLine="560" w:firstLineChars="200"/>
        <w:textAlignment w:val="baseline"/>
        <w:rPr>
          <w:rFonts w:ascii="宋体" w:hAnsi="宋体"/>
          <w:sz w:val="28"/>
          <w:szCs w:val="28"/>
        </w:rPr>
      </w:pPr>
      <w:r>
        <w:rPr>
          <w:rFonts w:hint="eastAsia" w:ascii="宋体" w:hAnsi="宋体"/>
          <w:sz w:val="28"/>
          <w:szCs w:val="28"/>
        </w:rPr>
        <w:t>（二）未被“信用中国”网站（www.creditchina.gov.cn）列入失信被执行人、重大税收违法案件当事人名单、政府采购严重失信行为记录名单；</w:t>
      </w:r>
    </w:p>
    <w:bookmarkEnd w:id="6"/>
    <w:p>
      <w:pPr>
        <w:ind w:firstLine="560" w:firstLineChars="200"/>
        <w:contextualSpacing/>
        <w:rPr>
          <w:rFonts w:ascii="宋体" w:hAnsi="宋体" w:cs="仿宋"/>
          <w:sz w:val="28"/>
          <w:szCs w:val="28"/>
        </w:rPr>
      </w:pPr>
      <w:r>
        <w:rPr>
          <w:rFonts w:hint="eastAsia" w:ascii="宋体" w:hAnsi="宋体" w:cs="仿宋"/>
          <w:sz w:val="28"/>
          <w:szCs w:val="28"/>
        </w:rPr>
        <w:t>（三）本项目的特定资格要求：无。</w:t>
      </w:r>
    </w:p>
    <w:p>
      <w:pPr>
        <w:ind w:firstLine="560" w:firstLineChars="200"/>
        <w:contextualSpacing/>
        <w:rPr>
          <w:rFonts w:ascii="宋体" w:hAnsi="宋体" w:cs="仿宋"/>
          <w:sz w:val="28"/>
          <w:szCs w:val="28"/>
          <w:u w:val="single"/>
        </w:rPr>
      </w:pPr>
      <w:r>
        <w:rPr>
          <w:rFonts w:hint="eastAsia" w:ascii="宋体" w:hAnsi="宋体" w:cs="仿宋"/>
          <w:sz w:val="28"/>
          <w:szCs w:val="28"/>
        </w:rPr>
        <w:t>（四）落实政府采购政策需满足的资格要求：</w:t>
      </w:r>
      <w:r>
        <w:rPr>
          <w:rFonts w:hint="eastAsia" w:ascii="宋体" w:hAnsi="宋体" w:cs="仿宋"/>
          <w:sz w:val="28"/>
          <w:szCs w:val="28"/>
          <w:u w:val="single"/>
        </w:rPr>
        <w:t>无</w:t>
      </w:r>
      <w:r>
        <w:rPr>
          <w:rFonts w:hint="eastAsia" w:ascii="宋体" w:hAnsi="宋体" w:cs="仿宋"/>
          <w:sz w:val="28"/>
          <w:szCs w:val="28"/>
        </w:rPr>
        <w:t>。</w:t>
      </w:r>
    </w:p>
    <w:p>
      <w:pPr>
        <w:widowControl/>
        <w:ind w:firstLine="560" w:firstLineChars="200"/>
        <w:rPr>
          <w:rFonts w:ascii="宋体" w:hAnsi="宋体"/>
          <w:sz w:val="28"/>
          <w:szCs w:val="28"/>
        </w:rPr>
      </w:pPr>
      <w:r>
        <w:rPr>
          <w:rFonts w:hint="eastAsia" w:ascii="宋体" w:hAnsi="宋体"/>
          <w:sz w:val="28"/>
          <w:szCs w:val="28"/>
        </w:rPr>
        <w:t>（五）本项目不接受联合体投标。</w:t>
      </w:r>
    </w:p>
    <w:p>
      <w:pPr>
        <w:widowControl/>
        <w:ind w:firstLine="560" w:firstLineChars="200"/>
        <w:rPr>
          <w:rFonts w:ascii="宋体" w:hAnsi="宋体"/>
          <w:sz w:val="28"/>
          <w:szCs w:val="28"/>
        </w:rPr>
      </w:pPr>
      <w:r>
        <w:rPr>
          <w:rFonts w:hint="eastAsia" w:ascii="宋体" w:hAnsi="宋体"/>
          <w:sz w:val="28"/>
          <w:szCs w:val="28"/>
        </w:rPr>
        <w:t>四、招标采购方式：竞争性磋商。</w:t>
      </w:r>
    </w:p>
    <w:p>
      <w:pPr>
        <w:widowControl/>
        <w:ind w:firstLine="560" w:firstLineChars="200"/>
        <w:rPr>
          <w:rFonts w:ascii="宋体" w:hAnsi="宋体"/>
          <w:sz w:val="28"/>
          <w:szCs w:val="28"/>
        </w:rPr>
      </w:pPr>
      <w:r>
        <w:rPr>
          <w:rFonts w:hint="eastAsia" w:ascii="宋体" w:hAnsi="宋体"/>
          <w:sz w:val="28"/>
          <w:szCs w:val="28"/>
        </w:rPr>
        <w:t>五、采购文件获取：</w:t>
      </w:r>
    </w:p>
    <w:p>
      <w:pPr>
        <w:ind w:firstLine="560" w:firstLineChars="200"/>
        <w:rPr>
          <w:rFonts w:ascii="宋体" w:hAnsi="宋体"/>
          <w:sz w:val="28"/>
          <w:szCs w:val="28"/>
        </w:rPr>
      </w:pPr>
      <w:r>
        <w:rPr>
          <w:rFonts w:hint="eastAsia" w:ascii="宋体" w:hAnsi="宋体"/>
          <w:sz w:val="28"/>
          <w:szCs w:val="28"/>
        </w:rPr>
        <w:t>招标文件等获取方式：获取本项目招标文件、招标文件的澄清、修改、补充等资料在</w:t>
      </w:r>
      <w:r>
        <w:rPr>
          <w:rFonts w:hint="eastAsia" w:ascii="宋体" w:hAnsi="宋体"/>
          <w:sz w:val="28"/>
          <w:szCs w:val="28"/>
          <w:lang w:val="en-US" w:eastAsia="zh-CN"/>
        </w:rPr>
        <w:t>如东县人民政府网站</w:t>
      </w:r>
      <w:r>
        <w:rPr>
          <w:rFonts w:hint="eastAsia" w:ascii="宋体" w:hAnsi="宋体"/>
          <w:sz w:val="28"/>
          <w:szCs w:val="28"/>
        </w:rPr>
        <w:t>（https://www.rudong.gov.cn/）自行下载，获取时间由发布招标公告的同时开始，到提交投标文件截止时结束。请各投标人自行关注，否则，引起的后果由投标人自行承担。</w:t>
      </w:r>
    </w:p>
    <w:p>
      <w:pPr>
        <w:widowControl/>
        <w:ind w:firstLine="562" w:firstLineChars="200"/>
        <w:rPr>
          <w:rFonts w:ascii="宋体" w:hAnsi="宋体"/>
          <w:b/>
          <w:sz w:val="28"/>
          <w:szCs w:val="28"/>
        </w:rPr>
      </w:pPr>
      <w:r>
        <w:rPr>
          <w:rFonts w:hint="eastAsia" w:ascii="宋体" w:hAnsi="宋体"/>
          <w:b/>
          <w:sz w:val="28"/>
          <w:szCs w:val="28"/>
        </w:rPr>
        <w:t>六、</w:t>
      </w:r>
      <w:bookmarkStart w:id="7" w:name="OLE_LINK2"/>
      <w:r>
        <w:rPr>
          <w:rFonts w:hint="eastAsia" w:ascii="宋体" w:hAnsi="宋体"/>
          <w:b/>
          <w:sz w:val="28"/>
          <w:szCs w:val="28"/>
        </w:rPr>
        <w:t>投标截止及开标时间：2025年7月18日14时30分（北京时间）。</w:t>
      </w:r>
    </w:p>
    <w:bookmarkEnd w:id="7"/>
    <w:p>
      <w:pPr>
        <w:widowControl/>
        <w:ind w:firstLine="562" w:firstLineChars="200"/>
        <w:rPr>
          <w:rFonts w:ascii="宋体" w:hAnsi="宋体"/>
          <w:b/>
          <w:sz w:val="28"/>
          <w:szCs w:val="28"/>
        </w:rPr>
      </w:pPr>
      <w:r>
        <w:rPr>
          <w:rFonts w:hint="eastAsia" w:ascii="宋体" w:hAnsi="宋体"/>
          <w:b/>
          <w:sz w:val="28"/>
          <w:szCs w:val="28"/>
        </w:rPr>
        <w:t>七、</w:t>
      </w:r>
      <w:bookmarkStart w:id="8" w:name="OLE_LINK4"/>
      <w:r>
        <w:rPr>
          <w:rFonts w:hint="eastAsia" w:ascii="宋体" w:hAnsi="宋体"/>
          <w:b/>
          <w:sz w:val="28"/>
          <w:szCs w:val="28"/>
        </w:rPr>
        <w:t>递交投标文件、开标地点</w:t>
      </w:r>
      <w:bookmarkEnd w:id="8"/>
      <w:r>
        <w:rPr>
          <w:rFonts w:hint="eastAsia" w:ascii="宋体" w:hAnsi="宋体"/>
          <w:b/>
          <w:sz w:val="28"/>
          <w:szCs w:val="28"/>
        </w:rPr>
        <w:t>：</w:t>
      </w:r>
      <w:bookmarkStart w:id="9" w:name="OLE_LINK3"/>
      <w:r>
        <w:rPr>
          <w:rFonts w:hint="eastAsia" w:ascii="宋体" w:hAnsi="宋体"/>
          <w:b/>
          <w:sz w:val="28"/>
          <w:szCs w:val="28"/>
        </w:rPr>
        <w:t>如东县城中街道长江路23号如东县气象局一楼大会议室</w:t>
      </w:r>
    </w:p>
    <w:bookmarkEnd w:id="9"/>
    <w:p>
      <w:pPr>
        <w:ind w:firstLine="560" w:firstLineChars="200"/>
        <w:rPr>
          <w:rFonts w:ascii="宋体" w:hAnsi="宋体"/>
          <w:sz w:val="28"/>
          <w:szCs w:val="28"/>
        </w:rPr>
      </w:pPr>
      <w:r>
        <w:rPr>
          <w:rFonts w:hint="eastAsia" w:ascii="宋体" w:hAnsi="宋体"/>
          <w:sz w:val="28"/>
          <w:szCs w:val="28"/>
        </w:rPr>
        <w:t>八、联系方式：</w:t>
      </w:r>
    </w:p>
    <w:p>
      <w:pPr>
        <w:widowControl/>
        <w:shd w:val="clear" w:color="auto" w:fill="FFFFFF"/>
        <w:ind w:firstLine="560" w:firstLineChars="200"/>
        <w:rPr>
          <w:rFonts w:ascii="宋体" w:hAnsi="宋体"/>
          <w:sz w:val="28"/>
          <w:szCs w:val="28"/>
        </w:rPr>
      </w:pPr>
      <w:bookmarkStart w:id="10" w:name="OLE_LINK7"/>
      <w:r>
        <w:rPr>
          <w:rFonts w:hint="eastAsia" w:ascii="宋体" w:hAnsi="宋体"/>
          <w:sz w:val="28"/>
          <w:szCs w:val="28"/>
        </w:rPr>
        <w:t>招标人：</w:t>
      </w:r>
      <w:bookmarkEnd w:id="10"/>
      <w:bookmarkStart w:id="11" w:name="OLE_LINK5"/>
      <w:r>
        <w:rPr>
          <w:rFonts w:hint="eastAsia" w:ascii="宋体" w:hAnsi="宋体"/>
          <w:sz w:val="28"/>
          <w:szCs w:val="28"/>
        </w:rPr>
        <w:t>如东县气象局</w:t>
      </w:r>
      <w:bookmarkEnd w:id="11"/>
    </w:p>
    <w:p>
      <w:pPr>
        <w:widowControl/>
        <w:ind w:firstLine="560" w:firstLineChars="200"/>
        <w:rPr>
          <w:rFonts w:ascii="宋体" w:hAnsi="宋体"/>
          <w:sz w:val="28"/>
          <w:szCs w:val="28"/>
        </w:rPr>
      </w:pPr>
      <w:bookmarkStart w:id="12" w:name="OLE_LINK6"/>
      <w:r>
        <w:rPr>
          <w:rFonts w:hint="eastAsia" w:ascii="宋体" w:hAnsi="宋体"/>
          <w:sz w:val="28"/>
          <w:szCs w:val="28"/>
        </w:rPr>
        <w:t>联系人：俞先生 联系电话：0513-84512108</w:t>
      </w:r>
    </w:p>
    <w:bookmarkEnd w:id="12"/>
    <w:p>
      <w:pPr>
        <w:widowControl/>
        <w:ind w:firstLine="562" w:firstLineChars="200"/>
        <w:rPr>
          <w:rFonts w:ascii="宋体" w:hAnsi="宋体"/>
          <w:b/>
          <w:sz w:val="28"/>
          <w:szCs w:val="28"/>
        </w:rPr>
      </w:pPr>
      <w:r>
        <w:rPr>
          <w:rFonts w:hint="eastAsia" w:ascii="宋体" w:hAnsi="宋体"/>
          <w:b/>
          <w:sz w:val="28"/>
          <w:szCs w:val="28"/>
        </w:rPr>
        <w:t>友情提醒：</w:t>
      </w:r>
    </w:p>
    <w:p>
      <w:pPr>
        <w:ind w:firstLine="560" w:firstLineChars="200"/>
        <w:rPr>
          <w:rFonts w:ascii="宋体" w:hAnsi="宋体"/>
          <w:sz w:val="28"/>
          <w:szCs w:val="28"/>
        </w:rPr>
      </w:pPr>
      <w:r>
        <w:rPr>
          <w:rFonts w:hint="eastAsia" w:ascii="宋体" w:hAnsi="宋体"/>
          <w:sz w:val="28"/>
          <w:szCs w:val="28"/>
        </w:rPr>
        <w:t>1.请各供应商连续关注本网站可能发生的相关变化等信息。如没有及时获悉相关变化而引起的后果由供应商自负。</w:t>
      </w:r>
    </w:p>
    <w:p>
      <w:pPr>
        <w:ind w:firstLine="560" w:firstLineChars="200"/>
        <w:rPr>
          <w:rFonts w:ascii="宋体" w:hAnsi="宋体"/>
          <w:sz w:val="28"/>
          <w:szCs w:val="28"/>
        </w:rPr>
      </w:pPr>
      <w:r>
        <w:rPr>
          <w:rFonts w:hint="eastAsia" w:ascii="宋体" w:hAnsi="宋体"/>
          <w:sz w:val="28"/>
          <w:szCs w:val="28"/>
        </w:rPr>
        <w:t>2.请各供应商认真阅读招标文件，严格遵守时间、资料提供等相关约定。</w:t>
      </w:r>
    </w:p>
    <w:p>
      <w:pPr>
        <w:ind w:firstLine="560" w:firstLineChars="200"/>
        <w:rPr>
          <w:rFonts w:ascii="宋体" w:hAnsi="宋体"/>
          <w:sz w:val="28"/>
          <w:szCs w:val="28"/>
        </w:rPr>
      </w:pPr>
      <w:r>
        <w:rPr>
          <w:rFonts w:hint="eastAsia" w:ascii="宋体" w:hAnsi="宋体"/>
          <w:sz w:val="28"/>
          <w:szCs w:val="28"/>
        </w:rPr>
        <w:t>3.请各供应商认真对照资格要求，如不符合要求，无意或故意参与报名、投标所产生的一切后果由供应商自行承担。</w:t>
      </w:r>
    </w:p>
    <w:p>
      <w:pPr>
        <w:snapToGrid w:val="0"/>
        <w:spacing w:line="360" w:lineRule="auto"/>
        <w:ind w:firstLine="562" w:firstLineChars="200"/>
        <w:rPr>
          <w:rFonts w:ascii="宋体" w:hAnsi="宋体"/>
          <w:b/>
          <w:sz w:val="28"/>
          <w:szCs w:val="28"/>
        </w:rPr>
      </w:pPr>
    </w:p>
    <w:p>
      <w:pPr>
        <w:pStyle w:val="10"/>
        <w:ind w:firstLine="560" w:firstLineChars="200"/>
        <w:rPr>
          <w:rFonts w:ascii="宋体" w:hAnsi="宋体" w:cs="宋体"/>
          <w:sz w:val="28"/>
          <w:szCs w:val="28"/>
          <w:highlight w:val="yellow"/>
        </w:rPr>
      </w:pPr>
    </w:p>
    <w:p>
      <w:pPr>
        <w:pStyle w:val="10"/>
        <w:ind w:firstLine="560" w:firstLineChars="200"/>
        <w:rPr>
          <w:rFonts w:ascii="宋体" w:hAnsi="宋体" w:cs="宋体"/>
          <w:sz w:val="28"/>
          <w:szCs w:val="28"/>
          <w:highlight w:val="yellow"/>
        </w:rPr>
      </w:pPr>
    </w:p>
    <w:p>
      <w:pPr>
        <w:pStyle w:val="10"/>
        <w:ind w:firstLine="480" w:firstLineChars="200"/>
        <w:rPr>
          <w:rFonts w:ascii="宋体" w:hAnsi="宋体" w:cs="宋体"/>
          <w:sz w:val="24"/>
          <w:szCs w:val="24"/>
          <w:highlight w:val="yellow"/>
        </w:rPr>
      </w:pPr>
    </w:p>
    <w:p>
      <w:pPr>
        <w:pStyle w:val="10"/>
        <w:ind w:firstLine="480" w:firstLineChars="200"/>
        <w:rPr>
          <w:rFonts w:ascii="宋体" w:hAnsi="宋体" w:cs="宋体"/>
          <w:sz w:val="24"/>
          <w:szCs w:val="24"/>
          <w:highlight w:val="yellow"/>
        </w:rPr>
      </w:pPr>
    </w:p>
    <w:p>
      <w:pPr>
        <w:pStyle w:val="10"/>
        <w:ind w:firstLine="480" w:firstLineChars="200"/>
        <w:rPr>
          <w:rFonts w:ascii="宋体" w:hAnsi="宋体" w:cs="宋体"/>
          <w:sz w:val="24"/>
          <w:szCs w:val="24"/>
          <w:highlight w:val="yellow"/>
        </w:rPr>
      </w:pPr>
    </w:p>
    <w:p>
      <w:pPr>
        <w:pStyle w:val="10"/>
        <w:spacing w:line="500" w:lineRule="exact"/>
        <w:ind w:firstLine="480" w:firstLineChars="200"/>
        <w:rPr>
          <w:rFonts w:ascii="宋体" w:hAnsi="宋体" w:cs="宋体"/>
          <w:sz w:val="24"/>
          <w:szCs w:val="24"/>
        </w:rPr>
      </w:pPr>
    </w:p>
    <w:p>
      <w:pPr>
        <w:pStyle w:val="13"/>
        <w:ind w:left="840"/>
      </w:pPr>
    </w:p>
    <w:p>
      <w:pPr>
        <w:jc w:val="center"/>
        <w:rPr>
          <w:rFonts w:ascii="宋体" w:hAnsi="宋体"/>
          <w:b/>
          <w:bCs/>
          <w:sz w:val="44"/>
        </w:rPr>
      </w:pPr>
    </w:p>
    <w:p>
      <w:pPr>
        <w:jc w:val="center"/>
        <w:rPr>
          <w:rFonts w:ascii="宋体" w:hAnsi="宋体"/>
          <w:b/>
          <w:bCs/>
          <w:sz w:val="44"/>
        </w:rPr>
      </w:pPr>
    </w:p>
    <w:p>
      <w:pPr>
        <w:pStyle w:val="13"/>
        <w:ind w:left="840"/>
      </w:pPr>
    </w:p>
    <w:p/>
    <w:p>
      <w:pPr>
        <w:pStyle w:val="13"/>
        <w:ind w:left="840"/>
      </w:pPr>
    </w:p>
    <w:p/>
    <w:p>
      <w:pPr>
        <w:pStyle w:val="13"/>
        <w:ind w:left="840"/>
      </w:pPr>
    </w:p>
    <w:p/>
    <w:p>
      <w:pPr>
        <w:pStyle w:val="13"/>
        <w:ind w:left="840"/>
      </w:pPr>
    </w:p>
    <w:p/>
    <w:p>
      <w:pPr>
        <w:pStyle w:val="39"/>
      </w:pPr>
    </w:p>
    <w:p>
      <w:pPr>
        <w:pStyle w:val="39"/>
      </w:pPr>
    </w:p>
    <w:p>
      <w:pPr>
        <w:pStyle w:val="39"/>
      </w:pPr>
    </w:p>
    <w:p>
      <w:pPr>
        <w:jc w:val="center"/>
        <w:rPr>
          <w:rFonts w:ascii="宋体" w:hAnsi="宋体"/>
          <w:b/>
          <w:bCs/>
          <w:sz w:val="44"/>
        </w:rPr>
      </w:pPr>
    </w:p>
    <w:p>
      <w:pPr>
        <w:jc w:val="center"/>
        <w:rPr>
          <w:rFonts w:ascii="宋体" w:hAnsi="宋体"/>
          <w:b/>
          <w:bCs/>
          <w:sz w:val="44"/>
        </w:rPr>
      </w:pPr>
      <w:r>
        <w:rPr>
          <w:rFonts w:hint="eastAsia" w:ascii="宋体" w:hAnsi="宋体"/>
          <w:b/>
          <w:bCs/>
          <w:sz w:val="44"/>
        </w:rPr>
        <w:t>第二部分  采购项目需求</w:t>
      </w:r>
    </w:p>
    <w:p>
      <w:pPr>
        <w:spacing w:line="360" w:lineRule="auto"/>
        <w:jc w:val="left"/>
        <w:outlineLvl w:val="0"/>
        <w:rPr>
          <w:rFonts w:ascii="宋体" w:hAnsi="宋体"/>
          <w:b/>
          <w:bCs/>
          <w:sz w:val="24"/>
          <w:szCs w:val="24"/>
          <w:lang w:val="zh-CN"/>
        </w:rPr>
      </w:pPr>
      <w:bookmarkStart w:id="13" w:name="_Toc131845532"/>
      <w:bookmarkStart w:id="14" w:name="_Toc101245454"/>
    </w:p>
    <w:bookmarkEnd w:id="13"/>
    <w:bookmarkEnd w:id="14"/>
    <w:p>
      <w:pPr>
        <w:spacing w:line="500" w:lineRule="exact"/>
        <w:ind w:firstLine="560"/>
        <w:outlineLvl w:val="1"/>
        <w:rPr>
          <w:rFonts w:ascii="黑体" w:hAnsi="黑体" w:eastAsia="黑体"/>
          <w:sz w:val="28"/>
          <w:szCs w:val="28"/>
        </w:rPr>
      </w:pPr>
      <w:bookmarkStart w:id="15" w:name="_Toc52352447"/>
      <w:r>
        <w:rPr>
          <w:rFonts w:hint="eastAsia" w:ascii="黑体" w:hAnsi="黑体" w:eastAsia="黑体"/>
          <w:sz w:val="28"/>
          <w:szCs w:val="28"/>
        </w:rPr>
        <w:t>一、项目简介</w:t>
      </w:r>
    </w:p>
    <w:p>
      <w:pPr>
        <w:spacing w:line="500" w:lineRule="exact"/>
        <w:ind w:firstLine="560"/>
        <w:rPr>
          <w:rFonts w:ascii="仿宋" w:hAnsi="仿宋" w:eastAsia="仿宋"/>
          <w:sz w:val="28"/>
          <w:szCs w:val="28"/>
        </w:rPr>
      </w:pPr>
      <w:r>
        <w:rPr>
          <w:rFonts w:hint="eastAsia" w:ascii="仿宋" w:hAnsi="仿宋" w:eastAsia="仿宋"/>
          <w:sz w:val="28"/>
          <w:szCs w:val="28"/>
        </w:rPr>
        <w:t>为了</w:t>
      </w:r>
      <w:r>
        <w:rPr>
          <w:rFonts w:ascii="仿宋" w:hAnsi="仿宋" w:eastAsia="仿宋"/>
          <w:sz w:val="28"/>
          <w:szCs w:val="28"/>
        </w:rPr>
        <w:t>加密我</w:t>
      </w:r>
      <w:r>
        <w:rPr>
          <w:rFonts w:hint="eastAsia" w:ascii="仿宋" w:hAnsi="仿宋" w:eastAsia="仿宋"/>
          <w:sz w:val="28"/>
          <w:szCs w:val="28"/>
        </w:rPr>
        <w:t>县</w:t>
      </w:r>
      <w:r>
        <w:rPr>
          <w:rFonts w:ascii="仿宋" w:hAnsi="仿宋" w:eastAsia="仿宋"/>
          <w:sz w:val="28"/>
          <w:szCs w:val="28"/>
        </w:rPr>
        <w:t>综合观测网络，全方位提升强对流预警能力</w:t>
      </w:r>
      <w:r>
        <w:rPr>
          <w:rFonts w:hint="eastAsia" w:ascii="仿宋" w:hAnsi="仿宋" w:eastAsia="仿宋"/>
          <w:sz w:val="28"/>
          <w:szCs w:val="28"/>
        </w:rPr>
        <w:t>，同时进一步强化气象科普进校园成果</w:t>
      </w:r>
      <w:r>
        <w:rPr>
          <w:rFonts w:ascii="仿宋" w:hAnsi="仿宋" w:eastAsia="仿宋"/>
          <w:sz w:val="28"/>
          <w:szCs w:val="28"/>
        </w:rPr>
        <w:t>。</w:t>
      </w:r>
      <w:r>
        <w:rPr>
          <w:rFonts w:hint="eastAsia" w:ascii="仿宋" w:hAnsi="仿宋" w:eastAsia="仿宋"/>
          <w:sz w:val="28"/>
          <w:szCs w:val="28"/>
        </w:rPr>
        <w:t>如东县气象局拟</w:t>
      </w:r>
      <w:r>
        <w:rPr>
          <w:rFonts w:ascii="仿宋" w:hAnsi="仿宋" w:eastAsia="仿宋"/>
          <w:sz w:val="28"/>
          <w:szCs w:val="28"/>
        </w:rPr>
        <w:t>在现有自动观测网站布局基础上，新增</w:t>
      </w:r>
      <w:r>
        <w:rPr>
          <w:rFonts w:hint="eastAsia" w:ascii="仿宋" w:hAnsi="仿宋" w:eastAsia="仿宋"/>
          <w:sz w:val="28"/>
          <w:szCs w:val="28"/>
        </w:rPr>
        <w:t>5套四要素</w:t>
      </w:r>
      <w:r>
        <w:rPr>
          <w:rFonts w:ascii="仿宋" w:hAnsi="仿宋" w:eastAsia="仿宋"/>
          <w:sz w:val="28"/>
          <w:szCs w:val="28"/>
        </w:rPr>
        <w:t>自动</w:t>
      </w:r>
      <w:r>
        <w:rPr>
          <w:rFonts w:hint="eastAsia" w:ascii="仿宋" w:hAnsi="仿宋" w:eastAsia="仿宋"/>
          <w:sz w:val="28"/>
          <w:szCs w:val="28"/>
        </w:rPr>
        <w:t>气象</w:t>
      </w:r>
      <w:r>
        <w:rPr>
          <w:rFonts w:ascii="仿宋" w:hAnsi="仿宋" w:eastAsia="仿宋"/>
          <w:sz w:val="28"/>
          <w:szCs w:val="28"/>
        </w:rPr>
        <w:t>站</w:t>
      </w:r>
      <w:r>
        <w:rPr>
          <w:rFonts w:hint="eastAsia" w:ascii="仿宋" w:hAnsi="仿宋" w:eastAsia="仿宋"/>
          <w:sz w:val="28"/>
          <w:szCs w:val="28"/>
        </w:rPr>
        <w:t>以及1套校园科普自动站。</w:t>
      </w:r>
    </w:p>
    <w:p>
      <w:pPr>
        <w:spacing w:line="500" w:lineRule="exact"/>
        <w:ind w:firstLine="560"/>
        <w:outlineLvl w:val="1"/>
        <w:rPr>
          <w:rFonts w:ascii="黑体" w:hAnsi="黑体" w:eastAsia="黑体"/>
          <w:sz w:val="28"/>
          <w:szCs w:val="28"/>
        </w:rPr>
      </w:pPr>
      <w:r>
        <w:rPr>
          <w:rFonts w:hint="eastAsia" w:ascii="黑体" w:hAnsi="黑体" w:eastAsia="黑体"/>
          <w:sz w:val="28"/>
          <w:szCs w:val="28"/>
        </w:rPr>
        <w:t>二、采购内容</w:t>
      </w:r>
    </w:p>
    <w:p>
      <w:pPr>
        <w:tabs>
          <w:tab w:val="left" w:pos="5325"/>
        </w:tabs>
        <w:spacing w:line="500" w:lineRule="exact"/>
        <w:ind w:firstLine="562"/>
        <w:contextualSpacing/>
        <w:rPr>
          <w:rFonts w:ascii="仿宋" w:hAnsi="仿宋" w:eastAsia="仿宋"/>
          <w:bCs/>
          <w:sz w:val="28"/>
          <w:szCs w:val="28"/>
          <w:u w:val="single"/>
        </w:rPr>
      </w:pPr>
      <w:r>
        <w:rPr>
          <w:rFonts w:hint="eastAsia" w:ascii="仿宋" w:hAnsi="仿宋" w:eastAsia="仿宋"/>
          <w:b/>
          <w:sz w:val="28"/>
          <w:szCs w:val="28"/>
        </w:rPr>
        <w:t>本项目核心内容为：</w:t>
      </w:r>
      <w:r>
        <w:rPr>
          <w:rFonts w:hint="eastAsia" w:ascii="仿宋" w:hAnsi="仿宋" w:eastAsia="仿宋"/>
          <w:b/>
          <w:sz w:val="28"/>
          <w:szCs w:val="28"/>
          <w:u w:val="single"/>
        </w:rPr>
        <w:t>四要素自动气象站及安装，</w:t>
      </w:r>
      <w:r>
        <w:rPr>
          <w:rFonts w:hint="eastAsia" w:ascii="仿宋" w:hAnsi="仿宋" w:eastAsia="仿宋"/>
          <w:b/>
          <w:sz w:val="28"/>
          <w:szCs w:val="28"/>
          <w:highlight w:val="none"/>
          <w:u w:val="single"/>
        </w:rPr>
        <w:t>4m*8m</w:t>
      </w:r>
      <w:r>
        <w:rPr>
          <w:rFonts w:hint="eastAsia" w:ascii="仿宋" w:hAnsi="仿宋" w:eastAsia="仿宋"/>
          <w:b/>
          <w:sz w:val="28"/>
          <w:szCs w:val="28"/>
          <w:u w:val="single"/>
        </w:rPr>
        <w:t>塑钢围栏。</w:t>
      </w:r>
    </w:p>
    <w:p>
      <w:pPr>
        <w:spacing w:line="500" w:lineRule="exact"/>
        <w:ind w:firstLine="560"/>
        <w:outlineLvl w:val="1"/>
        <w:rPr>
          <w:rFonts w:ascii="黑体" w:hAnsi="黑体" w:eastAsia="黑体"/>
          <w:sz w:val="28"/>
          <w:szCs w:val="28"/>
        </w:rPr>
      </w:pPr>
      <w:r>
        <w:rPr>
          <w:rFonts w:hint="eastAsia" w:ascii="黑体" w:hAnsi="黑体" w:eastAsia="黑体"/>
          <w:sz w:val="28"/>
          <w:szCs w:val="28"/>
        </w:rPr>
        <w:t>三、技术要求</w:t>
      </w:r>
    </w:p>
    <w:p>
      <w:pPr>
        <w:widowControl/>
        <w:ind w:firstLine="482" w:firstLineChars="200"/>
        <w:rPr>
          <w:rFonts w:ascii="宋体" w:hAnsi="宋体" w:cs="宋体"/>
          <w:b/>
          <w:sz w:val="24"/>
        </w:rPr>
      </w:pPr>
      <w:r>
        <w:rPr>
          <w:rFonts w:hint="eastAsia" w:ascii="宋体" w:hAnsi="宋体" w:cs="宋体"/>
          <w:b/>
          <w:sz w:val="24"/>
        </w:rPr>
        <w:t>（一）四要素自动气象站技术指标：</w:t>
      </w:r>
    </w:p>
    <w:tbl>
      <w:tblPr>
        <w:tblStyle w:val="23"/>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58"/>
        <w:gridCol w:w="1482"/>
        <w:gridCol w:w="1260"/>
        <w:gridCol w:w="1351"/>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8" w:type="dxa"/>
            <w:vMerge w:val="restart"/>
            <w:vAlign w:val="center"/>
          </w:tcPr>
          <w:p>
            <w:pPr>
              <w:widowControl/>
              <w:spacing w:line="240" w:lineRule="atLeast"/>
              <w:jc w:val="center"/>
              <w:rPr>
                <w:rFonts w:ascii="仿宋" w:hAnsi="仿宋" w:eastAsia="仿宋" w:cs="仿宋"/>
                <w:b/>
                <w:sz w:val="24"/>
              </w:rPr>
            </w:pPr>
            <w:bookmarkStart w:id="16" w:name="_Hlk9858673"/>
            <w:r>
              <w:rPr>
                <w:rFonts w:hint="eastAsia" w:ascii="仿宋" w:hAnsi="仿宋" w:eastAsia="仿宋" w:cs="仿宋"/>
                <w:b/>
                <w:sz w:val="24"/>
              </w:rPr>
              <w:t>采购设备名称</w:t>
            </w:r>
          </w:p>
        </w:tc>
        <w:tc>
          <w:tcPr>
            <w:tcW w:w="8694" w:type="dxa"/>
            <w:gridSpan w:val="5"/>
          </w:tcPr>
          <w:p>
            <w:pPr>
              <w:widowControl/>
              <w:spacing w:line="240" w:lineRule="atLeast"/>
              <w:jc w:val="center"/>
              <w:rPr>
                <w:rFonts w:ascii="仿宋" w:hAnsi="仿宋" w:eastAsia="仿宋" w:cs="仿宋"/>
                <w:b/>
                <w:sz w:val="24"/>
              </w:rPr>
            </w:pPr>
            <w:r>
              <w:rPr>
                <w:rFonts w:hint="eastAsia" w:ascii="仿宋" w:hAnsi="仿宋" w:eastAsia="仿宋" w:cs="仿宋"/>
                <w:b/>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8" w:type="dxa"/>
            <w:vMerge w:val="continue"/>
            <w:vAlign w:val="center"/>
          </w:tcPr>
          <w:p>
            <w:pPr>
              <w:widowControl/>
              <w:spacing w:line="240" w:lineRule="atLeast"/>
              <w:jc w:val="center"/>
              <w:rPr>
                <w:rFonts w:ascii="仿宋" w:hAnsi="仿宋" w:eastAsia="仿宋" w:cs="仿宋"/>
                <w:b/>
                <w:sz w:val="24"/>
              </w:rPr>
            </w:pPr>
          </w:p>
        </w:tc>
        <w:tc>
          <w:tcPr>
            <w:tcW w:w="1258" w:type="dxa"/>
            <w:vAlign w:val="center"/>
          </w:tcPr>
          <w:p>
            <w:pPr>
              <w:spacing w:line="240" w:lineRule="atLeast"/>
              <w:jc w:val="center"/>
              <w:rPr>
                <w:rFonts w:ascii="仿宋" w:hAnsi="仿宋" w:eastAsia="仿宋" w:cs="仿宋"/>
                <w:b/>
                <w:sz w:val="24"/>
              </w:rPr>
            </w:pPr>
            <w:r>
              <w:rPr>
                <w:rFonts w:hint="eastAsia" w:ascii="仿宋" w:hAnsi="仿宋" w:eastAsia="仿宋" w:cs="仿宋"/>
                <w:b/>
                <w:sz w:val="24"/>
              </w:rPr>
              <w:t>测量要素</w:t>
            </w:r>
          </w:p>
        </w:tc>
        <w:tc>
          <w:tcPr>
            <w:tcW w:w="2742" w:type="dxa"/>
            <w:gridSpan w:val="2"/>
          </w:tcPr>
          <w:p>
            <w:pPr>
              <w:spacing w:line="240" w:lineRule="atLeast"/>
              <w:jc w:val="center"/>
              <w:rPr>
                <w:rFonts w:ascii="仿宋" w:hAnsi="仿宋" w:eastAsia="仿宋" w:cs="仿宋"/>
                <w:b/>
                <w:sz w:val="24"/>
              </w:rPr>
            </w:pPr>
            <w:r>
              <w:rPr>
                <w:rFonts w:hint="eastAsia" w:ascii="仿宋" w:hAnsi="仿宋" w:eastAsia="仿宋" w:cs="仿宋"/>
                <w:b/>
                <w:sz w:val="24"/>
              </w:rPr>
              <w:t>范围</w:t>
            </w:r>
          </w:p>
        </w:tc>
        <w:tc>
          <w:tcPr>
            <w:tcW w:w="1351" w:type="dxa"/>
            <w:vAlign w:val="center"/>
          </w:tcPr>
          <w:p>
            <w:pPr>
              <w:spacing w:line="240" w:lineRule="atLeast"/>
              <w:jc w:val="center"/>
              <w:rPr>
                <w:rFonts w:ascii="仿宋" w:hAnsi="仿宋" w:eastAsia="仿宋" w:cs="仿宋"/>
                <w:b/>
                <w:sz w:val="24"/>
              </w:rPr>
            </w:pPr>
            <w:r>
              <w:rPr>
                <w:rFonts w:hint="eastAsia" w:ascii="仿宋" w:hAnsi="仿宋" w:eastAsia="仿宋" w:cs="仿宋"/>
                <w:b/>
                <w:sz w:val="24"/>
              </w:rPr>
              <w:t>分辨率</w:t>
            </w:r>
          </w:p>
        </w:tc>
        <w:tc>
          <w:tcPr>
            <w:tcW w:w="3343" w:type="dxa"/>
            <w:vAlign w:val="center"/>
          </w:tcPr>
          <w:p>
            <w:pPr>
              <w:spacing w:line="240" w:lineRule="atLeast"/>
              <w:jc w:val="center"/>
              <w:rPr>
                <w:rFonts w:ascii="仿宋" w:hAnsi="仿宋" w:eastAsia="仿宋" w:cs="仿宋"/>
                <w:b/>
                <w:sz w:val="24"/>
              </w:rPr>
            </w:pPr>
            <w:r>
              <w:rPr>
                <w:rFonts w:hint="eastAsia" w:ascii="仿宋" w:hAnsi="仿宋" w:eastAsia="仿宋" w:cs="仿宋"/>
                <w:b/>
                <w:sz w:val="24"/>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8" w:type="dxa"/>
            <w:vMerge w:val="restart"/>
            <w:vAlign w:val="center"/>
          </w:tcPr>
          <w:p>
            <w:pPr>
              <w:widowControl/>
              <w:spacing w:line="240" w:lineRule="atLeast"/>
              <w:jc w:val="center"/>
              <w:rPr>
                <w:rFonts w:ascii="仿宋" w:hAnsi="仿宋" w:eastAsia="仿宋" w:cs="仿宋"/>
                <w:sz w:val="24"/>
              </w:rPr>
            </w:pPr>
            <w:r>
              <w:rPr>
                <w:rFonts w:hint="eastAsia" w:ascii="仿宋" w:hAnsi="仿宋" w:eastAsia="仿宋" w:cs="仿宋"/>
                <w:sz w:val="24"/>
              </w:rPr>
              <w:t>自动气象站</w:t>
            </w:r>
          </w:p>
        </w:tc>
        <w:tc>
          <w:tcPr>
            <w:tcW w:w="1258" w:type="dxa"/>
            <w:vAlign w:val="center"/>
          </w:tcPr>
          <w:p>
            <w:pPr>
              <w:spacing w:line="360" w:lineRule="exact"/>
              <w:jc w:val="center"/>
              <w:rPr>
                <w:rFonts w:ascii="仿宋" w:hAnsi="仿宋" w:eastAsia="仿宋" w:cs="仿宋"/>
                <w:sz w:val="24"/>
              </w:rPr>
            </w:pPr>
            <w:r>
              <w:rPr>
                <w:rFonts w:hint="eastAsia" w:ascii="仿宋" w:hAnsi="仿宋" w:eastAsia="仿宋" w:cs="仿宋"/>
                <w:sz w:val="24"/>
              </w:rPr>
              <w:t>温度</w:t>
            </w:r>
          </w:p>
        </w:tc>
        <w:tc>
          <w:tcPr>
            <w:tcW w:w="2742" w:type="dxa"/>
            <w:gridSpan w:val="2"/>
            <w:vAlign w:val="center"/>
          </w:tcPr>
          <w:p>
            <w:pPr>
              <w:spacing w:line="360" w:lineRule="exact"/>
              <w:jc w:val="center"/>
              <w:rPr>
                <w:rFonts w:ascii="仿宋" w:hAnsi="仿宋" w:eastAsia="仿宋" w:cs="仿宋"/>
                <w:sz w:val="24"/>
              </w:rPr>
            </w:pPr>
            <w:r>
              <w:rPr>
                <w:rFonts w:hint="eastAsia" w:ascii="仿宋" w:hAnsi="仿宋" w:eastAsia="仿宋" w:cs="仿宋"/>
                <w:sz w:val="24"/>
              </w:rPr>
              <w:t>-50℃～50℃</w:t>
            </w:r>
          </w:p>
        </w:tc>
        <w:tc>
          <w:tcPr>
            <w:tcW w:w="1351" w:type="dxa"/>
            <w:vAlign w:val="center"/>
          </w:tcPr>
          <w:p>
            <w:pPr>
              <w:spacing w:line="360" w:lineRule="exact"/>
              <w:jc w:val="center"/>
              <w:rPr>
                <w:rFonts w:ascii="仿宋" w:hAnsi="仿宋" w:eastAsia="仿宋" w:cs="仿宋"/>
                <w:sz w:val="24"/>
              </w:rPr>
            </w:pPr>
            <w:r>
              <w:rPr>
                <w:rFonts w:hint="eastAsia" w:ascii="仿宋" w:hAnsi="仿宋" w:eastAsia="仿宋" w:cs="仿宋"/>
                <w:sz w:val="24"/>
              </w:rPr>
              <w:t>0.1℃</w:t>
            </w:r>
          </w:p>
        </w:tc>
        <w:tc>
          <w:tcPr>
            <w:tcW w:w="3343" w:type="dxa"/>
            <w:vAlign w:val="center"/>
          </w:tcPr>
          <w:p>
            <w:pPr>
              <w:spacing w:line="360" w:lineRule="exact"/>
              <w:jc w:val="center"/>
              <w:rPr>
                <w:rFonts w:ascii="仿宋" w:hAnsi="仿宋" w:eastAsia="仿宋" w:cs="仿宋"/>
                <w:sz w:val="24"/>
              </w:rPr>
            </w:pPr>
            <w:r>
              <w:rPr>
                <w:rFonts w:hint="eastAsia" w:ascii="仿宋" w:hAnsi="仿宋" w:eastAsia="仿宋" w:cs="仿宋"/>
                <w:sz w:val="24"/>
                <w:highlight w:val="none"/>
              </w:rPr>
              <w:t>±0.</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8" w:type="dxa"/>
            <w:vMerge w:val="continue"/>
            <w:vAlign w:val="center"/>
          </w:tcPr>
          <w:p>
            <w:pPr>
              <w:widowControl/>
              <w:spacing w:line="240" w:lineRule="atLeast"/>
              <w:jc w:val="center"/>
              <w:rPr>
                <w:rFonts w:ascii="仿宋" w:hAnsi="仿宋" w:eastAsia="仿宋" w:cs="仿宋"/>
                <w:sz w:val="24"/>
              </w:rPr>
            </w:pPr>
          </w:p>
        </w:tc>
        <w:tc>
          <w:tcPr>
            <w:tcW w:w="1258" w:type="dxa"/>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风向</w:t>
            </w:r>
          </w:p>
        </w:tc>
        <w:tc>
          <w:tcPr>
            <w:tcW w:w="2742" w:type="dxa"/>
            <w:gridSpan w:val="2"/>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0～360°</w:t>
            </w:r>
          </w:p>
        </w:tc>
        <w:tc>
          <w:tcPr>
            <w:tcW w:w="1351" w:type="dxa"/>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3°</w:t>
            </w:r>
          </w:p>
        </w:tc>
        <w:tc>
          <w:tcPr>
            <w:tcW w:w="3343" w:type="dxa"/>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8" w:type="dxa"/>
            <w:vMerge w:val="continue"/>
            <w:vAlign w:val="center"/>
          </w:tcPr>
          <w:p>
            <w:pPr>
              <w:widowControl/>
              <w:spacing w:line="240" w:lineRule="atLeast"/>
              <w:jc w:val="center"/>
              <w:rPr>
                <w:rFonts w:ascii="仿宋" w:hAnsi="仿宋" w:eastAsia="仿宋" w:cs="仿宋"/>
                <w:sz w:val="24"/>
              </w:rPr>
            </w:pPr>
          </w:p>
        </w:tc>
        <w:tc>
          <w:tcPr>
            <w:tcW w:w="1258" w:type="dxa"/>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风速</w:t>
            </w:r>
          </w:p>
        </w:tc>
        <w:tc>
          <w:tcPr>
            <w:tcW w:w="2742" w:type="dxa"/>
            <w:gridSpan w:val="2"/>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0～60m/s</w:t>
            </w:r>
          </w:p>
        </w:tc>
        <w:tc>
          <w:tcPr>
            <w:tcW w:w="1351" w:type="dxa"/>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0.1m/s</w:t>
            </w:r>
          </w:p>
        </w:tc>
        <w:tc>
          <w:tcPr>
            <w:tcW w:w="3343" w:type="dxa"/>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±（0.5+0.03V）m/s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88" w:type="dxa"/>
            <w:vMerge w:val="continue"/>
            <w:vAlign w:val="center"/>
          </w:tcPr>
          <w:p>
            <w:pPr>
              <w:widowControl/>
              <w:spacing w:line="240" w:lineRule="atLeast"/>
              <w:jc w:val="center"/>
              <w:rPr>
                <w:rFonts w:ascii="仿宋" w:hAnsi="仿宋" w:eastAsia="仿宋" w:cs="仿宋"/>
                <w:sz w:val="24"/>
              </w:rPr>
            </w:pPr>
          </w:p>
        </w:tc>
        <w:tc>
          <w:tcPr>
            <w:tcW w:w="1258" w:type="dxa"/>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降水量</w:t>
            </w:r>
          </w:p>
        </w:tc>
        <w:tc>
          <w:tcPr>
            <w:tcW w:w="2742" w:type="dxa"/>
            <w:gridSpan w:val="2"/>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翻斗：雨强0～4mm/min</w:t>
            </w:r>
          </w:p>
        </w:tc>
        <w:tc>
          <w:tcPr>
            <w:tcW w:w="1351" w:type="dxa"/>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0.1mm</w:t>
            </w:r>
          </w:p>
        </w:tc>
        <w:tc>
          <w:tcPr>
            <w:tcW w:w="3343" w:type="dxa"/>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±0.4mm（≤10mm）±4%（＞10mm）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8" w:type="dxa"/>
            <w:vMerge w:val="continue"/>
            <w:vAlign w:val="center"/>
          </w:tcPr>
          <w:p>
            <w:pPr>
              <w:widowControl/>
              <w:spacing w:line="240" w:lineRule="atLeast"/>
              <w:jc w:val="center"/>
              <w:rPr>
                <w:rFonts w:ascii="仿宋" w:hAnsi="仿宋" w:eastAsia="仿宋" w:cs="仿宋"/>
                <w:sz w:val="24"/>
              </w:rPr>
            </w:pPr>
          </w:p>
        </w:tc>
        <w:tc>
          <w:tcPr>
            <w:tcW w:w="8694" w:type="dxa"/>
            <w:gridSpan w:val="5"/>
          </w:tcPr>
          <w:p>
            <w:pPr>
              <w:spacing w:line="360" w:lineRule="exact"/>
              <w:jc w:val="left"/>
              <w:rPr>
                <w:rFonts w:ascii="仿宋" w:hAnsi="仿宋" w:eastAsia="仿宋" w:cs="仿宋"/>
                <w:b/>
                <w:bCs/>
                <w:sz w:val="24"/>
              </w:rPr>
            </w:pPr>
            <w:r>
              <w:rPr>
                <w:rFonts w:hint="eastAsia" w:ascii="仿宋" w:hAnsi="仿宋" w:eastAsia="仿宋" w:cs="仿宋"/>
                <w:b/>
                <w:bCs/>
                <w:sz w:val="24"/>
              </w:rPr>
              <w:t>上表中所有技术参数根据响应供应商提供的产品技术说明书、官网截图或者国家认可的第三方检测机构出具的检测报告，进行符合性审查。不提供作无效响应。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8" w:type="dxa"/>
            <w:vMerge w:val="continue"/>
            <w:vAlign w:val="center"/>
          </w:tcPr>
          <w:p>
            <w:pPr>
              <w:widowControl/>
              <w:spacing w:line="240" w:lineRule="atLeast"/>
              <w:jc w:val="center"/>
              <w:rPr>
                <w:rFonts w:ascii="仿宋" w:hAnsi="仿宋" w:eastAsia="仿宋" w:cs="仿宋"/>
                <w:sz w:val="24"/>
              </w:rPr>
            </w:pPr>
          </w:p>
        </w:tc>
        <w:tc>
          <w:tcPr>
            <w:tcW w:w="2740" w:type="dxa"/>
            <w:gridSpan w:val="2"/>
            <w:vAlign w:val="center"/>
          </w:tcPr>
          <w:p>
            <w:pPr>
              <w:spacing w:line="360" w:lineRule="exact"/>
              <w:jc w:val="center"/>
              <w:rPr>
                <w:rFonts w:ascii="仿宋" w:hAnsi="仿宋" w:eastAsia="仿宋" w:cs="仿宋"/>
                <w:sz w:val="24"/>
              </w:rPr>
            </w:pPr>
            <w:r>
              <w:rPr>
                <w:rFonts w:hint="eastAsia" w:ascii="仿宋" w:hAnsi="仿宋" w:eastAsia="仿宋" w:cs="仿宋"/>
                <w:sz w:val="24"/>
              </w:rPr>
              <w:t>10米风杆</w:t>
            </w:r>
          </w:p>
        </w:tc>
        <w:tc>
          <w:tcPr>
            <w:tcW w:w="5954" w:type="dxa"/>
            <w:gridSpan w:val="3"/>
            <w:vAlign w:val="center"/>
          </w:tcPr>
          <w:p>
            <w:pPr>
              <w:spacing w:line="360" w:lineRule="exact"/>
              <w:jc w:val="left"/>
              <w:rPr>
                <w:rFonts w:ascii="仿宋" w:hAnsi="仿宋" w:eastAsia="仿宋" w:cs="仿宋"/>
                <w:sz w:val="24"/>
                <w:highlight w:val="yellow"/>
              </w:rPr>
            </w:pPr>
            <w:r>
              <w:rPr>
                <w:rFonts w:hint="eastAsia" w:ascii="仿宋" w:hAnsi="仿宋" w:eastAsia="仿宋" w:cs="仿宋"/>
                <w:sz w:val="24"/>
              </w:rPr>
              <w:t>1.杆体尺寸：上中下分别为φ80、φ100、φ127</w:t>
            </w:r>
          </w:p>
          <w:p>
            <w:pPr>
              <w:spacing w:line="360" w:lineRule="exact"/>
              <w:jc w:val="left"/>
              <w:rPr>
                <w:rFonts w:ascii="仿宋" w:hAnsi="仿宋" w:eastAsia="仿宋" w:cs="仿宋"/>
                <w:sz w:val="24"/>
              </w:rPr>
            </w:pPr>
            <w:r>
              <w:rPr>
                <w:rFonts w:hint="eastAsia" w:ascii="仿宋" w:hAnsi="仿宋" w:eastAsia="仿宋" w:cs="仿宋"/>
                <w:sz w:val="24"/>
              </w:rPr>
              <w:t xml:space="preserve">2.对应材料：下节127管为碳钢材质，中上节为铝合金材质。                                   </w:t>
            </w:r>
          </w:p>
          <w:p>
            <w:pPr>
              <w:spacing w:line="360" w:lineRule="exact"/>
              <w:ind w:left="39"/>
              <w:jc w:val="left"/>
              <w:rPr>
                <w:rFonts w:ascii="仿宋" w:hAnsi="仿宋" w:eastAsia="仿宋" w:cs="仿宋"/>
                <w:sz w:val="24"/>
              </w:rPr>
            </w:pPr>
            <w:r>
              <w:rPr>
                <w:rFonts w:hint="eastAsia" w:ascii="仿宋" w:hAnsi="仿宋" w:eastAsia="仿宋" w:cs="仿宋"/>
                <w:sz w:val="24"/>
              </w:rPr>
              <w:t>3.包含避雷针、预埋组件、附件、包装等。</w:t>
            </w:r>
          </w:p>
          <w:p>
            <w:pPr>
              <w:spacing w:line="360" w:lineRule="exact"/>
              <w:ind w:left="-2"/>
              <w:jc w:val="left"/>
              <w:rPr>
                <w:rFonts w:ascii="仿宋" w:hAnsi="仿宋" w:eastAsia="仿宋" w:cs="仿宋"/>
                <w:sz w:val="24"/>
              </w:rPr>
            </w:pPr>
            <w:r>
              <w:rPr>
                <w:rFonts w:hint="eastAsia" w:ascii="仿宋" w:hAnsi="仿宋" w:eastAsia="仿宋" w:cs="仿宋"/>
                <w:sz w:val="24"/>
              </w:rPr>
              <w:t>4.杆体模拟强度：抗扰  41.9m/s(静载)≈14级风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8" w:type="dxa"/>
            <w:vMerge w:val="continue"/>
            <w:vAlign w:val="center"/>
          </w:tcPr>
          <w:p>
            <w:pPr>
              <w:widowControl/>
              <w:spacing w:line="240" w:lineRule="atLeast"/>
              <w:jc w:val="center"/>
              <w:rPr>
                <w:rFonts w:ascii="仿宋" w:hAnsi="仿宋" w:eastAsia="仿宋" w:cs="仿宋"/>
                <w:sz w:val="24"/>
              </w:rPr>
            </w:pPr>
          </w:p>
        </w:tc>
        <w:tc>
          <w:tcPr>
            <w:tcW w:w="2740" w:type="dxa"/>
            <w:gridSpan w:val="2"/>
          </w:tcPr>
          <w:p>
            <w:pPr>
              <w:spacing w:line="360" w:lineRule="exact"/>
              <w:jc w:val="center"/>
              <w:rPr>
                <w:rFonts w:ascii="仿宋" w:hAnsi="仿宋" w:eastAsia="仿宋" w:cs="仿宋"/>
                <w:dstrike/>
                <w:sz w:val="24"/>
              </w:rPr>
            </w:pPr>
            <w:r>
              <w:rPr>
                <w:rFonts w:hint="eastAsia" w:ascii="仿宋" w:hAnsi="仿宋" w:eastAsia="仿宋" w:cs="仿宋"/>
                <w:sz w:val="24"/>
              </w:rPr>
              <w:t>玻璃钢百叶箱</w:t>
            </w:r>
          </w:p>
        </w:tc>
        <w:tc>
          <w:tcPr>
            <w:tcW w:w="5954" w:type="dxa"/>
            <w:gridSpan w:val="3"/>
            <w:vAlign w:val="center"/>
          </w:tcPr>
          <w:p>
            <w:pPr>
              <w:spacing w:line="360" w:lineRule="exact"/>
              <w:jc w:val="left"/>
              <w:rPr>
                <w:rFonts w:ascii="仿宋" w:hAnsi="仿宋" w:eastAsia="仿宋" w:cs="仿宋"/>
                <w:sz w:val="24"/>
              </w:rPr>
            </w:pPr>
            <w:r>
              <w:rPr>
                <w:rFonts w:hint="eastAsia" w:ascii="仿宋" w:hAnsi="仿宋" w:eastAsia="仿宋" w:cs="仿宋"/>
                <w:sz w:val="24"/>
              </w:rPr>
              <w:t>符合中国气象局发布的百叶箱专业标准“ZBA4700-85”中提的技术要求。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1088" w:type="dxa"/>
            <w:vMerge w:val="continue"/>
            <w:vAlign w:val="center"/>
          </w:tcPr>
          <w:p>
            <w:pPr>
              <w:widowControl/>
              <w:spacing w:line="240" w:lineRule="atLeast"/>
              <w:jc w:val="center"/>
              <w:rPr>
                <w:rFonts w:ascii="仿宋" w:hAnsi="仿宋" w:eastAsia="仿宋" w:cs="仿宋"/>
                <w:sz w:val="24"/>
              </w:rPr>
            </w:pPr>
          </w:p>
        </w:tc>
        <w:tc>
          <w:tcPr>
            <w:tcW w:w="2740" w:type="dxa"/>
            <w:gridSpan w:val="2"/>
            <w:vAlign w:val="center"/>
          </w:tcPr>
          <w:p>
            <w:pPr>
              <w:spacing w:line="360" w:lineRule="exact"/>
              <w:jc w:val="center"/>
              <w:rPr>
                <w:rFonts w:ascii="仿宋" w:hAnsi="仿宋" w:eastAsia="仿宋" w:cs="仿宋"/>
                <w:sz w:val="24"/>
              </w:rPr>
            </w:pPr>
            <w:r>
              <w:rPr>
                <w:rFonts w:hint="eastAsia" w:ascii="仿宋" w:hAnsi="仿宋" w:eastAsia="仿宋" w:cs="仿宋"/>
                <w:sz w:val="24"/>
              </w:rPr>
              <w:t>太阳能供电系统</w:t>
            </w:r>
          </w:p>
        </w:tc>
        <w:tc>
          <w:tcPr>
            <w:tcW w:w="5954" w:type="dxa"/>
            <w:gridSpan w:val="3"/>
            <w:vAlign w:val="center"/>
          </w:tcPr>
          <w:p>
            <w:pPr>
              <w:spacing w:line="360" w:lineRule="exact"/>
              <w:jc w:val="left"/>
              <w:rPr>
                <w:rFonts w:ascii="仿宋" w:hAnsi="仿宋" w:eastAsia="仿宋" w:cs="仿宋"/>
                <w:sz w:val="24"/>
              </w:rPr>
            </w:pPr>
            <w:r>
              <w:rPr>
                <w:rFonts w:hint="eastAsia" w:ascii="仿宋" w:hAnsi="仿宋" w:eastAsia="仿宋" w:cs="仿宋"/>
                <w:sz w:val="24"/>
              </w:rPr>
              <w:t>太阳能板转换效率≥13%；表层以3mm厚高透射率（92%）的强化玻璃所覆盖，可抵受每小时225公里（62.5m/s）的风速吹袭，及沙石、冰雹或其他异物的撞击； 阳极处理铅合金框架，框架以矽塑料密封，防止盐雾、潮湿等腐蚀；全天候接线盒。开路电压Voc(V)：21；最佳工作电压Vm(V)：16.8；短路电流Iso(A)：1.61 ；最佳工作电流Im(A)：1.55。阀控密封铅酸蓄电池。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88" w:type="dxa"/>
            <w:vMerge w:val="continue"/>
            <w:vAlign w:val="center"/>
          </w:tcPr>
          <w:p>
            <w:pPr>
              <w:widowControl/>
              <w:spacing w:line="240" w:lineRule="atLeast"/>
              <w:jc w:val="center"/>
              <w:rPr>
                <w:rFonts w:ascii="仿宋" w:hAnsi="仿宋" w:eastAsia="仿宋" w:cs="仿宋"/>
                <w:sz w:val="24"/>
              </w:rPr>
            </w:pPr>
          </w:p>
        </w:tc>
        <w:tc>
          <w:tcPr>
            <w:tcW w:w="2740" w:type="dxa"/>
            <w:gridSpan w:val="2"/>
            <w:vAlign w:val="center"/>
          </w:tcPr>
          <w:p>
            <w:pPr>
              <w:spacing w:line="360" w:lineRule="exact"/>
              <w:jc w:val="center"/>
              <w:rPr>
                <w:rFonts w:ascii="仿宋" w:hAnsi="仿宋" w:eastAsia="仿宋" w:cs="仿宋"/>
                <w:sz w:val="24"/>
              </w:rPr>
            </w:pPr>
            <w:r>
              <w:rPr>
                <w:rFonts w:hint="eastAsia" w:ascii="仿宋" w:hAnsi="仿宋" w:eastAsia="仿宋" w:cs="仿宋"/>
                <w:sz w:val="24"/>
              </w:rPr>
              <w:t>配套其他设备及线缆</w:t>
            </w:r>
          </w:p>
        </w:tc>
        <w:tc>
          <w:tcPr>
            <w:tcW w:w="5954" w:type="dxa"/>
            <w:gridSpan w:val="3"/>
            <w:vAlign w:val="center"/>
          </w:tcPr>
          <w:p>
            <w:pPr>
              <w:pStyle w:val="104"/>
              <w:keepNext w:val="0"/>
              <w:keepLines w:val="0"/>
              <w:spacing w:line="360" w:lineRule="exact"/>
              <w:rPr>
                <w:rFonts w:ascii="仿宋" w:hAnsi="仿宋" w:eastAsia="仿宋" w:cs="仿宋"/>
                <w:sz w:val="24"/>
                <w:szCs w:val="24"/>
              </w:rPr>
            </w:pPr>
            <w:r>
              <w:rPr>
                <w:rFonts w:hint="eastAsia" w:ascii="仿宋" w:hAnsi="仿宋" w:eastAsia="仿宋" w:cs="仿宋"/>
                <w:b w:val="0"/>
                <w:bCs/>
                <w:sz w:val="24"/>
                <w:szCs w:val="24"/>
              </w:rPr>
              <w:t>采集器与传感器之间均使用专用信号电缆连接，符合相关工业标准——JB8734-1998，其屏蔽层编制密度不小于97%；防冻电缆，使用范围-40℃～＋55℃。</w:t>
            </w:r>
            <w:bookmarkEnd w:id="16"/>
          </w:p>
        </w:tc>
      </w:tr>
    </w:tbl>
    <w:p>
      <w:pPr>
        <w:spacing w:line="360" w:lineRule="exact"/>
        <w:ind w:firstLine="561"/>
        <w:jc w:val="left"/>
        <w:rPr>
          <w:rFonts w:ascii="仿宋" w:hAnsi="仿宋" w:eastAsia="仿宋" w:cs="仿宋"/>
          <w:b/>
          <w:bCs/>
          <w:sz w:val="28"/>
        </w:rPr>
      </w:pPr>
      <w:r>
        <w:rPr>
          <w:rFonts w:hint="eastAsia" w:ascii="仿宋" w:hAnsi="仿宋" w:eastAsia="仿宋" w:cs="仿宋"/>
          <w:b/>
          <w:bCs/>
          <w:sz w:val="28"/>
        </w:rPr>
        <w:t>1.上表中所有技术参数均为基本技术要求，不允许负偏离，负偏离按照无效响应处理。</w:t>
      </w:r>
    </w:p>
    <w:p>
      <w:pPr>
        <w:spacing w:line="360" w:lineRule="exact"/>
        <w:ind w:firstLine="561"/>
        <w:jc w:val="left"/>
        <w:rPr>
          <w:rFonts w:ascii="仿宋" w:hAnsi="仿宋" w:eastAsia="仿宋" w:cs="仿宋"/>
          <w:b/>
          <w:bCs/>
          <w:sz w:val="28"/>
        </w:rPr>
      </w:pPr>
      <w:r>
        <w:rPr>
          <w:rFonts w:hint="eastAsia" w:ascii="仿宋" w:hAnsi="仿宋" w:eastAsia="仿宋" w:cs="仿宋"/>
          <w:b/>
          <w:bCs/>
          <w:sz w:val="28"/>
        </w:rPr>
        <w:t>2.上表中参数要求如为指定值，均指该参数的最低要求，响应供应商可选择优于最低要求的产品进行响应。</w:t>
      </w:r>
    </w:p>
    <w:p>
      <w:pPr>
        <w:pStyle w:val="39"/>
        <w:rPr>
          <w:rFonts w:ascii="仿宋" w:hAnsi="仿宋" w:eastAsia="仿宋" w:cs="仿宋"/>
          <w:b/>
          <w:bCs/>
          <w:sz w:val="28"/>
        </w:rPr>
      </w:pPr>
    </w:p>
    <w:p>
      <w:pPr>
        <w:pStyle w:val="39"/>
        <w:rPr>
          <w:rFonts w:ascii="仿宋" w:hAnsi="仿宋" w:eastAsia="仿宋" w:cs="仿宋"/>
          <w:b/>
          <w:bCs/>
          <w:sz w:val="28"/>
        </w:rPr>
      </w:pPr>
      <w:r>
        <w:rPr>
          <w:rFonts w:hint="eastAsia" w:ascii="仿宋" w:hAnsi="仿宋" w:eastAsia="仿宋" w:cs="仿宋"/>
          <w:b/>
          <w:bCs/>
          <w:sz w:val="28"/>
        </w:rPr>
        <w:t>（二）</w:t>
      </w:r>
      <w:r>
        <w:rPr>
          <w:rFonts w:hint="eastAsia" w:cs="宋体"/>
          <w:b/>
          <w:bCs/>
          <w:sz w:val="24"/>
        </w:rPr>
        <w:t>四要素自动气象站项目清单：</w:t>
      </w:r>
    </w:p>
    <w:tbl>
      <w:tblPr>
        <w:tblStyle w:val="23"/>
        <w:tblpPr w:leftFromText="180" w:rightFromText="180" w:vertAnchor="text" w:horzAnchor="page" w:tblpX="1428" w:tblpY="75"/>
        <w:tblOverlap w:val="never"/>
        <w:tblW w:w="9057" w:type="dxa"/>
        <w:tblInd w:w="0" w:type="dxa"/>
        <w:tblLayout w:type="fixed"/>
        <w:tblCellMar>
          <w:top w:w="0" w:type="dxa"/>
          <w:left w:w="108" w:type="dxa"/>
          <w:bottom w:w="0" w:type="dxa"/>
          <w:right w:w="108" w:type="dxa"/>
        </w:tblCellMar>
      </w:tblPr>
      <w:tblGrid>
        <w:gridCol w:w="686"/>
        <w:gridCol w:w="3353"/>
        <w:gridCol w:w="1056"/>
        <w:gridCol w:w="1008"/>
        <w:gridCol w:w="2954"/>
      </w:tblGrid>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b/>
                <w:bCs/>
                <w:kern w:val="0"/>
                <w:sz w:val="22"/>
                <w:szCs w:val="22"/>
                <w:lang w:bidi="ar"/>
              </w:rPr>
              <w:t>序号</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b/>
                <w:bCs/>
                <w:kern w:val="0"/>
                <w:sz w:val="22"/>
                <w:szCs w:val="22"/>
                <w:lang w:bidi="ar"/>
              </w:rPr>
              <w:t>项目</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22"/>
                <w:szCs w:val="22"/>
                <w:lang w:bidi="ar"/>
              </w:rPr>
            </w:pPr>
            <w:r>
              <w:rPr>
                <w:rFonts w:hint="eastAsia" w:ascii="宋体" w:hAnsi="宋体" w:cs="宋体"/>
                <w:b/>
                <w:bCs/>
                <w:kern w:val="0"/>
                <w:sz w:val="22"/>
                <w:szCs w:val="22"/>
                <w:lang w:bidi="ar"/>
              </w:rPr>
              <w:t>单位</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b/>
                <w:bCs/>
                <w:kern w:val="0"/>
                <w:sz w:val="22"/>
                <w:szCs w:val="22"/>
                <w:lang w:bidi="ar"/>
              </w:rPr>
              <w:t>数量</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b/>
                <w:bCs/>
                <w:kern w:val="0"/>
                <w:sz w:val="22"/>
                <w:szCs w:val="22"/>
                <w:lang w:bidi="ar"/>
              </w:rPr>
              <w:t>一</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b/>
                <w:bCs/>
                <w:kern w:val="0"/>
                <w:sz w:val="22"/>
                <w:szCs w:val="22"/>
                <w:lang w:bidi="ar"/>
              </w:rPr>
              <w:t>采集通信系统</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数据采集系统</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主采集器型号：WUSH-BH4</w:t>
            </w: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无线通信模块</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全网通，含天线 </w:t>
            </w: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bidi="ar"/>
              </w:rPr>
              <w:t>二</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bidi="ar"/>
              </w:rPr>
              <w:t>传感器</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1</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温度传感器</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2</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风向风速传感器</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250"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3</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雨量传感器</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注：双翻斗</w:t>
            </w: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bidi="ar"/>
              </w:rPr>
              <w:t>三</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bidi="ar"/>
              </w:rPr>
              <w:t>供电及附件</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1</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太阳能供电系统</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2</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设备防雷组件</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3</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通讯、信号和供电电缆</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4</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风杆（10米、无拉索）</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根</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color w:val="000000"/>
                <w:kern w:val="0"/>
                <w:sz w:val="22"/>
                <w:szCs w:val="22"/>
                <w:lang w:bidi="ar"/>
              </w:rPr>
              <w:t>5</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sz w:val="22"/>
                <w:szCs w:val="22"/>
                <w:lang w:bidi="ar"/>
              </w:rPr>
              <w:t>风传感器安装横臂</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玻璃钢百叶箱</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bidi="ar"/>
              </w:rPr>
              <w:t>四</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bidi="ar"/>
              </w:rPr>
              <w:t>服务及工程</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22"/>
                <w:szCs w:val="22"/>
                <w:lang w:bidi="ar"/>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22"/>
                <w:szCs w:val="22"/>
                <w:lang w:bidi="ar"/>
              </w:rPr>
            </w:pP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b/>
                <w:bCs/>
                <w:color w:val="000000"/>
                <w:kern w:val="0"/>
                <w:sz w:val="22"/>
                <w:szCs w:val="22"/>
                <w:lang w:bidi="ar"/>
              </w:rPr>
              <w:t xml:space="preserve"> </w:t>
            </w: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包装、运输及保险费</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批</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295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安装调试费</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批</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29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基础施工</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含防雷地网</w:t>
            </w: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围栏</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围栏高1.2m，长宽</w:t>
            </w:r>
            <w:r>
              <w:rPr>
                <w:rFonts w:hint="eastAsia" w:ascii="宋体" w:hAnsi="宋体" w:cs="宋体"/>
                <w:color w:val="000000"/>
                <w:kern w:val="0"/>
                <w:sz w:val="18"/>
                <w:szCs w:val="18"/>
                <w:highlight w:val="none"/>
                <w:lang w:bidi="ar"/>
              </w:rPr>
              <w:t>4m*8m</w:t>
            </w: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随机资料</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已含</w:t>
            </w:r>
          </w:p>
        </w:tc>
      </w:tr>
      <w:tr>
        <w:tblPrEx>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3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中心站软件</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已含</w:t>
            </w:r>
          </w:p>
        </w:tc>
      </w:tr>
    </w:tbl>
    <w:p>
      <w:pPr>
        <w:spacing w:line="240" w:lineRule="atLeast"/>
        <w:ind w:firstLine="560"/>
        <w:jc w:val="left"/>
        <w:outlineLvl w:val="1"/>
        <w:rPr>
          <w:rFonts w:ascii="黑体" w:hAnsi="黑体" w:eastAsia="黑体"/>
          <w:sz w:val="28"/>
          <w:szCs w:val="28"/>
        </w:rPr>
      </w:pPr>
    </w:p>
    <w:p>
      <w:pPr>
        <w:spacing w:line="240" w:lineRule="atLeast"/>
        <w:ind w:firstLine="560"/>
        <w:jc w:val="left"/>
        <w:outlineLvl w:val="1"/>
        <w:rPr>
          <w:rFonts w:ascii="黑体" w:hAnsi="黑体" w:eastAsia="黑体"/>
          <w:sz w:val="28"/>
          <w:szCs w:val="28"/>
        </w:rPr>
      </w:pPr>
    </w:p>
    <w:p>
      <w:pPr>
        <w:spacing w:line="240" w:lineRule="atLeast"/>
        <w:ind w:firstLine="560"/>
        <w:jc w:val="left"/>
        <w:outlineLvl w:val="1"/>
        <w:rPr>
          <w:rFonts w:ascii="黑体" w:hAnsi="黑体" w:eastAsia="黑体"/>
          <w:sz w:val="28"/>
          <w:szCs w:val="28"/>
        </w:rPr>
      </w:pPr>
      <w:r>
        <w:rPr>
          <w:rFonts w:hint="eastAsia" w:ascii="黑体" w:hAnsi="黑体" w:eastAsia="黑体"/>
          <w:sz w:val="28"/>
          <w:szCs w:val="28"/>
        </w:rPr>
        <w:t>四、质量标准</w:t>
      </w:r>
    </w:p>
    <w:p>
      <w:pPr>
        <w:spacing w:line="500" w:lineRule="exact"/>
        <w:ind w:firstLine="560"/>
        <w:jc w:val="left"/>
        <w:rPr>
          <w:rFonts w:ascii="黑体" w:hAnsi="黑体" w:eastAsia="黑体"/>
          <w:sz w:val="28"/>
          <w:szCs w:val="28"/>
        </w:rPr>
      </w:pPr>
      <w:r>
        <w:rPr>
          <w:rFonts w:hint="eastAsia" w:ascii="仿宋" w:hAnsi="仿宋" w:eastAsia="仿宋" w:cs="仿宋"/>
          <w:sz w:val="28"/>
        </w:rPr>
        <w:t>（一）采购标的需执行的国家相关标准、行业标准、地方标准或者其他标准、规范：</w:t>
      </w:r>
    </w:p>
    <w:p>
      <w:pPr>
        <w:spacing w:line="500" w:lineRule="exact"/>
        <w:ind w:firstLine="560"/>
        <w:jc w:val="left"/>
        <w:rPr>
          <w:rFonts w:ascii="仿宋" w:hAnsi="仿宋" w:eastAsia="仿宋" w:cs="仿宋"/>
          <w:sz w:val="28"/>
        </w:rPr>
      </w:pPr>
      <w:r>
        <w:rPr>
          <w:rFonts w:hint="eastAsia" w:ascii="仿宋" w:hAnsi="仿宋" w:eastAsia="仿宋" w:cs="仿宋"/>
          <w:sz w:val="28"/>
        </w:rPr>
        <w:t>1.《气象观测站网建设技术要求》</w:t>
      </w:r>
    </w:p>
    <w:p>
      <w:pPr>
        <w:spacing w:line="500" w:lineRule="exact"/>
        <w:ind w:firstLine="560"/>
        <w:jc w:val="left"/>
        <w:rPr>
          <w:rFonts w:ascii="仿宋" w:hAnsi="仿宋" w:eastAsia="仿宋" w:cs="仿宋"/>
          <w:sz w:val="28"/>
        </w:rPr>
      </w:pPr>
      <w:r>
        <w:rPr>
          <w:rFonts w:hint="eastAsia" w:ascii="仿宋" w:hAnsi="仿宋" w:eastAsia="仿宋" w:cs="仿宋"/>
          <w:sz w:val="28"/>
        </w:rPr>
        <w:t>2.《气象观测站网建设指南》中国气象局“气测函﹛2009﹜265号文”</w:t>
      </w:r>
    </w:p>
    <w:p>
      <w:pPr>
        <w:spacing w:line="500" w:lineRule="exact"/>
        <w:ind w:firstLine="560"/>
        <w:jc w:val="left"/>
        <w:rPr>
          <w:rFonts w:ascii="仿宋" w:hAnsi="仿宋" w:eastAsia="仿宋" w:cs="仿宋"/>
          <w:sz w:val="28"/>
        </w:rPr>
      </w:pPr>
      <w:r>
        <w:rPr>
          <w:rFonts w:hint="eastAsia" w:ascii="仿宋" w:hAnsi="仿宋" w:eastAsia="仿宋" w:cs="仿宋"/>
          <w:sz w:val="28"/>
        </w:rPr>
        <w:t>3.《观测方法指南（第7 版）》WMO CIMO</w:t>
      </w:r>
    </w:p>
    <w:p>
      <w:pPr>
        <w:spacing w:line="500" w:lineRule="exact"/>
        <w:ind w:firstLine="560"/>
        <w:jc w:val="left"/>
        <w:rPr>
          <w:rFonts w:ascii="仿宋" w:hAnsi="仿宋" w:eastAsia="仿宋" w:cs="仿宋"/>
          <w:sz w:val="28"/>
        </w:rPr>
      </w:pPr>
      <w:r>
        <w:rPr>
          <w:rFonts w:hint="eastAsia" w:ascii="仿宋" w:hAnsi="仿宋" w:eastAsia="仿宋" w:cs="仿宋"/>
          <w:sz w:val="28"/>
        </w:rPr>
        <w:t>4.《地面气象观测规范》 中国气象局新版</w:t>
      </w:r>
    </w:p>
    <w:p>
      <w:pPr>
        <w:spacing w:line="500" w:lineRule="exact"/>
        <w:ind w:firstLine="560"/>
        <w:jc w:val="left"/>
        <w:rPr>
          <w:rFonts w:ascii="仿宋" w:hAnsi="仿宋" w:eastAsia="仿宋" w:cs="仿宋"/>
          <w:sz w:val="28"/>
        </w:rPr>
      </w:pPr>
      <w:r>
        <w:rPr>
          <w:rFonts w:ascii="仿宋" w:hAnsi="仿宋" w:eastAsia="仿宋" w:cs="仿宋"/>
          <w:sz w:val="28"/>
        </w:rPr>
        <w:t>（</w:t>
      </w:r>
      <w:r>
        <w:rPr>
          <w:rFonts w:hint="eastAsia" w:ascii="仿宋" w:hAnsi="仿宋" w:eastAsia="仿宋" w:cs="仿宋"/>
          <w:sz w:val="28"/>
        </w:rPr>
        <w:t>二</w:t>
      </w:r>
      <w:r>
        <w:rPr>
          <w:rFonts w:ascii="仿宋" w:hAnsi="仿宋" w:eastAsia="仿宋" w:cs="仿宋"/>
          <w:sz w:val="28"/>
        </w:rPr>
        <w:t>）成交人须明确所投设备的生产厂家、品牌、型号、规格和外形、尺寸等。</w:t>
      </w:r>
    </w:p>
    <w:p>
      <w:pPr>
        <w:spacing w:line="500" w:lineRule="exact"/>
        <w:ind w:firstLine="560"/>
        <w:jc w:val="left"/>
        <w:rPr>
          <w:rFonts w:ascii="仿宋" w:hAnsi="仿宋" w:eastAsia="仿宋" w:cs="仿宋"/>
          <w:sz w:val="28"/>
        </w:rPr>
      </w:pPr>
      <w:r>
        <w:rPr>
          <w:rFonts w:ascii="仿宋" w:hAnsi="仿宋" w:eastAsia="仿宋" w:cs="仿宋"/>
          <w:sz w:val="28"/>
        </w:rPr>
        <w:t>（</w:t>
      </w:r>
      <w:r>
        <w:rPr>
          <w:rFonts w:hint="eastAsia" w:ascii="仿宋" w:hAnsi="仿宋" w:eastAsia="仿宋" w:cs="仿宋"/>
          <w:sz w:val="28"/>
        </w:rPr>
        <w:t>三</w:t>
      </w:r>
      <w:r>
        <w:rPr>
          <w:rFonts w:ascii="仿宋" w:hAnsi="仿宋" w:eastAsia="仿宋" w:cs="仿宋"/>
          <w:sz w:val="28"/>
        </w:rPr>
        <w:t>）成交人应保证货物是全新、未使用过的原厂合格产品，并完全符合</w:t>
      </w:r>
      <w:r>
        <w:rPr>
          <w:rFonts w:hint="eastAsia" w:ascii="仿宋" w:hAnsi="仿宋" w:eastAsia="仿宋" w:cs="仿宋"/>
          <w:sz w:val="28"/>
        </w:rPr>
        <w:t>采购文件</w:t>
      </w:r>
      <w:r>
        <w:rPr>
          <w:rFonts w:ascii="仿宋" w:hAnsi="仿宋" w:eastAsia="仿宋" w:cs="仿宋"/>
          <w:sz w:val="28"/>
        </w:rPr>
        <w:t>规定的质量、规格和参数的要求。验收过程中发现产品不符合上述要求的，将视作不合格产品，采购人有权终止合同，造成的一切损失由成交人承担。</w:t>
      </w:r>
    </w:p>
    <w:p>
      <w:pPr>
        <w:spacing w:line="500" w:lineRule="exact"/>
        <w:ind w:firstLine="560"/>
        <w:jc w:val="left"/>
        <w:rPr>
          <w:rFonts w:ascii="仿宋" w:hAnsi="仿宋" w:eastAsia="仿宋" w:cs="仿宋"/>
          <w:sz w:val="28"/>
        </w:rPr>
      </w:pPr>
      <w:r>
        <w:rPr>
          <w:rFonts w:ascii="仿宋" w:hAnsi="仿宋" w:eastAsia="仿宋" w:cs="仿宋"/>
          <w:sz w:val="28"/>
        </w:rPr>
        <w:t>（</w:t>
      </w:r>
      <w:r>
        <w:rPr>
          <w:rFonts w:hint="eastAsia" w:ascii="仿宋" w:hAnsi="仿宋" w:eastAsia="仿宋" w:cs="仿宋"/>
          <w:sz w:val="28"/>
        </w:rPr>
        <w:t>四</w:t>
      </w:r>
      <w:r>
        <w:rPr>
          <w:rFonts w:ascii="仿宋" w:hAnsi="仿宋" w:eastAsia="仿宋" w:cs="仿宋"/>
          <w:sz w:val="28"/>
        </w:rPr>
        <w:t>）成交人应保证提供的产品不得侵犯第三方专利权、商标权和设计权、版权等。否则，成交人应负全部责任，并承担由此引起的一切后果。</w:t>
      </w:r>
    </w:p>
    <w:p>
      <w:pPr>
        <w:spacing w:line="500" w:lineRule="exact"/>
        <w:ind w:firstLine="560"/>
        <w:jc w:val="left"/>
        <w:rPr>
          <w:rFonts w:ascii="仿宋" w:hAnsi="仿宋" w:eastAsia="仿宋" w:cs="仿宋"/>
          <w:sz w:val="28"/>
        </w:rPr>
      </w:pPr>
      <w:r>
        <w:rPr>
          <w:rFonts w:ascii="仿宋" w:hAnsi="仿宋" w:eastAsia="仿宋" w:cs="仿宋"/>
          <w:sz w:val="28"/>
        </w:rPr>
        <w:t>（</w:t>
      </w:r>
      <w:r>
        <w:rPr>
          <w:rFonts w:hint="eastAsia" w:ascii="仿宋" w:hAnsi="仿宋" w:eastAsia="仿宋" w:cs="仿宋"/>
          <w:sz w:val="28"/>
        </w:rPr>
        <w:t>五</w:t>
      </w:r>
      <w:r>
        <w:rPr>
          <w:rFonts w:ascii="仿宋" w:hAnsi="仿宋" w:eastAsia="仿宋" w:cs="仿宋"/>
          <w:sz w:val="28"/>
        </w:rPr>
        <w:t>）成交人应保证其货物在正确安装、正常使用下，在其使用寿命期内应具有满意的性能。</w:t>
      </w:r>
    </w:p>
    <w:p>
      <w:pPr>
        <w:spacing w:line="500" w:lineRule="exact"/>
        <w:ind w:firstLine="560"/>
        <w:jc w:val="left"/>
        <w:rPr>
          <w:rFonts w:ascii="仿宋" w:hAnsi="仿宋" w:eastAsia="仿宋" w:cs="仿宋"/>
          <w:sz w:val="28"/>
        </w:rPr>
      </w:pPr>
      <w:r>
        <w:rPr>
          <w:rFonts w:ascii="仿宋" w:hAnsi="仿宋" w:eastAsia="仿宋" w:cs="仿宋"/>
          <w:sz w:val="28"/>
        </w:rPr>
        <w:t>（</w:t>
      </w:r>
      <w:r>
        <w:rPr>
          <w:rFonts w:hint="eastAsia" w:ascii="仿宋" w:hAnsi="仿宋" w:eastAsia="仿宋" w:cs="仿宋"/>
          <w:sz w:val="28"/>
        </w:rPr>
        <w:t>六</w:t>
      </w:r>
      <w:r>
        <w:rPr>
          <w:rFonts w:ascii="仿宋" w:hAnsi="仿宋" w:eastAsia="仿宋" w:cs="仿宋"/>
          <w:sz w:val="28"/>
        </w:rPr>
        <w:t>）成交人应采取必要的安全措施保证货物的运输及安装的安全，并承担货物的运输及安装过程中产生的风险。</w:t>
      </w:r>
    </w:p>
    <w:p>
      <w:pPr>
        <w:spacing w:line="500" w:lineRule="exact"/>
        <w:ind w:firstLine="560"/>
        <w:jc w:val="left"/>
        <w:rPr>
          <w:rFonts w:ascii="仿宋" w:hAnsi="仿宋" w:eastAsia="仿宋" w:cs="仿宋"/>
          <w:sz w:val="28"/>
        </w:rPr>
      </w:pPr>
      <w:r>
        <w:rPr>
          <w:rFonts w:ascii="仿宋" w:hAnsi="仿宋" w:eastAsia="仿宋" w:cs="仿宋"/>
          <w:sz w:val="28"/>
        </w:rPr>
        <w:t>（</w:t>
      </w:r>
      <w:r>
        <w:rPr>
          <w:rFonts w:hint="eastAsia" w:ascii="仿宋" w:hAnsi="仿宋" w:eastAsia="仿宋" w:cs="仿宋"/>
          <w:sz w:val="28"/>
        </w:rPr>
        <w:t>七</w:t>
      </w:r>
      <w:r>
        <w:rPr>
          <w:rFonts w:ascii="仿宋" w:hAnsi="仿宋" w:eastAsia="仿宋" w:cs="仿宋"/>
          <w:sz w:val="28"/>
        </w:rPr>
        <w:t>）成交人必须保证所提供的产品符合国家相应质量要求，供货时必须随产品提供出厂材料，包括但不限于检验报告（复印件）、产品合格证（原件）等。</w:t>
      </w:r>
    </w:p>
    <w:p>
      <w:pPr>
        <w:spacing w:line="500" w:lineRule="exact"/>
        <w:ind w:firstLine="560"/>
        <w:jc w:val="left"/>
        <w:rPr>
          <w:rFonts w:ascii="仿宋" w:hAnsi="仿宋" w:eastAsia="仿宋" w:cs="仿宋"/>
          <w:sz w:val="28"/>
        </w:rPr>
      </w:pPr>
      <w:r>
        <w:rPr>
          <w:rFonts w:ascii="仿宋" w:hAnsi="仿宋" w:eastAsia="仿宋" w:cs="仿宋"/>
          <w:sz w:val="28"/>
        </w:rPr>
        <w:t>（</w:t>
      </w:r>
      <w:r>
        <w:rPr>
          <w:rFonts w:hint="eastAsia" w:ascii="仿宋" w:hAnsi="仿宋" w:eastAsia="仿宋" w:cs="仿宋"/>
          <w:sz w:val="28"/>
        </w:rPr>
        <w:t>八</w:t>
      </w:r>
      <w:r>
        <w:rPr>
          <w:rFonts w:ascii="仿宋" w:hAnsi="仿宋" w:eastAsia="仿宋" w:cs="仿宋"/>
          <w:sz w:val="28"/>
        </w:rPr>
        <w:t>）成交人所供货物最终验收后，成交人应对由于设计、工艺或材料的缺陷而发生的任何不足或故障负责，并承担由此引起的一切后果。</w:t>
      </w:r>
    </w:p>
    <w:p>
      <w:pPr>
        <w:spacing w:line="500" w:lineRule="exact"/>
        <w:ind w:firstLine="560"/>
        <w:jc w:val="left"/>
        <w:rPr>
          <w:rFonts w:ascii="宋体" w:hAnsi="宋体"/>
          <w:sz w:val="24"/>
        </w:rPr>
      </w:pPr>
      <w:r>
        <w:rPr>
          <w:rFonts w:ascii="仿宋" w:hAnsi="仿宋" w:eastAsia="仿宋" w:cs="仿宋"/>
          <w:sz w:val="28"/>
        </w:rPr>
        <w:t>（</w:t>
      </w:r>
      <w:r>
        <w:rPr>
          <w:rFonts w:hint="eastAsia" w:ascii="仿宋" w:hAnsi="仿宋" w:eastAsia="仿宋" w:cs="仿宋"/>
          <w:sz w:val="28"/>
        </w:rPr>
        <w:t>九</w:t>
      </w:r>
      <w:r>
        <w:rPr>
          <w:rFonts w:ascii="仿宋" w:hAnsi="仿宋" w:eastAsia="仿宋" w:cs="仿宋"/>
          <w:sz w:val="28"/>
        </w:rPr>
        <w:t>）在项目采购或实施过程中，如国家标准修改，应按照新国家标准实施；如本</w:t>
      </w:r>
      <w:r>
        <w:rPr>
          <w:rFonts w:hint="eastAsia" w:ascii="仿宋" w:hAnsi="仿宋" w:eastAsia="仿宋" w:cs="仿宋"/>
          <w:sz w:val="28"/>
        </w:rPr>
        <w:t>采购文件</w:t>
      </w:r>
      <w:r>
        <w:rPr>
          <w:rFonts w:ascii="仿宋" w:hAnsi="仿宋" w:eastAsia="仿宋" w:cs="仿宋"/>
          <w:sz w:val="28"/>
        </w:rPr>
        <w:t>规定高于国家标准，无论新旧标准，均按本</w:t>
      </w:r>
      <w:r>
        <w:rPr>
          <w:rFonts w:hint="eastAsia" w:ascii="仿宋" w:hAnsi="仿宋" w:eastAsia="仿宋" w:cs="仿宋"/>
          <w:sz w:val="28"/>
        </w:rPr>
        <w:t>采购文件</w:t>
      </w:r>
      <w:r>
        <w:rPr>
          <w:rFonts w:ascii="仿宋" w:hAnsi="仿宋" w:eastAsia="仿宋" w:cs="仿宋"/>
          <w:sz w:val="28"/>
        </w:rPr>
        <w:t>规定实施；如本</w:t>
      </w:r>
      <w:r>
        <w:rPr>
          <w:rFonts w:hint="eastAsia" w:ascii="仿宋" w:hAnsi="仿宋" w:eastAsia="仿宋" w:cs="仿宋"/>
          <w:sz w:val="28"/>
        </w:rPr>
        <w:t>采购文件</w:t>
      </w:r>
      <w:r>
        <w:rPr>
          <w:rFonts w:ascii="仿宋" w:hAnsi="仿宋" w:eastAsia="仿宋" w:cs="仿宋"/>
          <w:sz w:val="28"/>
        </w:rPr>
        <w:t>规定低于国家标准，无论新旧标准，均按国家标准规定实施。如本</w:t>
      </w:r>
      <w:r>
        <w:rPr>
          <w:rFonts w:hint="eastAsia" w:ascii="仿宋" w:hAnsi="仿宋" w:eastAsia="仿宋" w:cs="仿宋"/>
          <w:sz w:val="28"/>
        </w:rPr>
        <w:t>采购文件</w:t>
      </w:r>
      <w:r>
        <w:rPr>
          <w:rFonts w:ascii="仿宋" w:hAnsi="仿宋" w:eastAsia="仿宋" w:cs="仿宋"/>
          <w:sz w:val="28"/>
        </w:rPr>
        <w:t>内有内容相互矛盾，以高标准高要求的为准。以上有关风险等由供应商自行考虑并承担</w:t>
      </w:r>
      <w:r>
        <w:rPr>
          <w:rFonts w:hint="eastAsia" w:ascii="仿宋" w:hAnsi="仿宋" w:eastAsia="仿宋" w:cs="仿宋"/>
          <w:sz w:val="28"/>
        </w:rPr>
        <w:t>。</w:t>
      </w:r>
    </w:p>
    <w:p>
      <w:pPr>
        <w:spacing w:line="500" w:lineRule="exact"/>
        <w:ind w:firstLine="560"/>
        <w:outlineLvl w:val="1"/>
        <w:rPr>
          <w:rFonts w:ascii="黑体" w:hAnsi="黑体" w:eastAsia="黑体"/>
          <w:sz w:val="28"/>
          <w:szCs w:val="28"/>
        </w:rPr>
      </w:pPr>
      <w:r>
        <w:rPr>
          <w:rFonts w:hint="eastAsia" w:ascii="黑体" w:hAnsi="黑体" w:eastAsia="黑体"/>
          <w:sz w:val="28"/>
          <w:szCs w:val="28"/>
        </w:rPr>
        <w:t>五、交货期限和地点</w:t>
      </w:r>
    </w:p>
    <w:p>
      <w:pPr>
        <w:spacing w:line="500" w:lineRule="exact"/>
        <w:ind w:firstLine="560"/>
        <w:rPr>
          <w:rFonts w:ascii="仿宋" w:hAnsi="仿宋" w:eastAsia="仿宋"/>
          <w:sz w:val="28"/>
          <w:szCs w:val="28"/>
        </w:rPr>
      </w:pPr>
      <w:r>
        <w:rPr>
          <w:rFonts w:hint="eastAsia" w:ascii="仿宋" w:hAnsi="仿宋" w:eastAsia="仿宋"/>
          <w:sz w:val="28"/>
          <w:szCs w:val="28"/>
        </w:rPr>
        <w:t>交货期限：自合同签订之日起90日历天内完成供货及项目实施，具体时间以采购人通知为准。</w:t>
      </w:r>
    </w:p>
    <w:p>
      <w:pPr>
        <w:spacing w:line="500" w:lineRule="exact"/>
        <w:ind w:firstLine="560"/>
        <w:rPr>
          <w:rFonts w:ascii="仿宋" w:hAnsi="仿宋" w:eastAsia="仿宋"/>
          <w:sz w:val="28"/>
          <w:szCs w:val="28"/>
        </w:rPr>
      </w:pPr>
      <w:r>
        <w:rPr>
          <w:rFonts w:hint="eastAsia" w:ascii="仿宋" w:hAnsi="仿宋" w:eastAsia="仿宋"/>
          <w:sz w:val="28"/>
          <w:szCs w:val="28"/>
        </w:rPr>
        <w:t>地点：采购人指定地点</w:t>
      </w:r>
    </w:p>
    <w:p>
      <w:pPr>
        <w:spacing w:line="500" w:lineRule="exact"/>
        <w:ind w:firstLine="560"/>
        <w:outlineLvl w:val="1"/>
        <w:rPr>
          <w:rFonts w:ascii="黑体" w:hAnsi="黑体" w:eastAsia="黑体"/>
          <w:sz w:val="28"/>
          <w:szCs w:val="28"/>
        </w:rPr>
      </w:pPr>
      <w:r>
        <w:rPr>
          <w:rFonts w:hint="eastAsia" w:ascii="黑体" w:hAnsi="黑体" w:eastAsia="黑体"/>
          <w:sz w:val="28"/>
          <w:szCs w:val="28"/>
        </w:rPr>
        <w:t>六、验收方案</w:t>
      </w:r>
    </w:p>
    <w:p>
      <w:pPr>
        <w:spacing w:line="500" w:lineRule="exact"/>
        <w:ind w:firstLine="560"/>
        <w:jc w:val="left"/>
        <w:rPr>
          <w:rFonts w:ascii="仿宋" w:hAnsi="仿宋" w:eastAsia="仿宋"/>
          <w:bCs/>
          <w:sz w:val="28"/>
          <w:szCs w:val="28"/>
        </w:rPr>
      </w:pPr>
      <w:r>
        <w:rPr>
          <w:rFonts w:hint="eastAsia" w:ascii="仿宋" w:hAnsi="仿宋" w:eastAsia="仿宋"/>
          <w:bCs/>
          <w:sz w:val="28"/>
          <w:szCs w:val="28"/>
        </w:rPr>
        <w:t>（一）验收标准：成交人应保证货物必须为生产厂家整机原包装，进场时应有装箱单、安装及使用说明、产品合格证书、保修单、相关附件、备件等应齐全，并完全符合采购文件规定的质量、规格和参数的要求。验收过程中发现产品不符合上述要求的，将视作不合格产品，采购人有权终止合同，造成的一切损失由成交人承担。</w:t>
      </w:r>
    </w:p>
    <w:p>
      <w:pPr>
        <w:spacing w:line="500" w:lineRule="exact"/>
        <w:ind w:firstLine="560"/>
        <w:jc w:val="left"/>
        <w:rPr>
          <w:rFonts w:ascii="仿宋" w:hAnsi="仿宋" w:eastAsia="仿宋"/>
          <w:sz w:val="28"/>
          <w:szCs w:val="28"/>
        </w:rPr>
      </w:pPr>
      <w:bookmarkStart w:id="17" w:name="_Toc2196"/>
      <w:r>
        <w:rPr>
          <w:rFonts w:hint="eastAsia" w:ascii="仿宋" w:hAnsi="仿宋" w:eastAsia="仿宋"/>
          <w:bCs/>
          <w:sz w:val="28"/>
          <w:szCs w:val="28"/>
        </w:rPr>
        <w:t>（二）全部安装到位后，在接到成交供应商以书面形式提出验收申请后，采购人应在5个工作日内及时组织相关专业技术人员参与验收，并出具验收报告，作为支付货款的依据</w:t>
      </w:r>
      <w:bookmarkEnd w:id="17"/>
      <w:r>
        <w:rPr>
          <w:rFonts w:hint="eastAsia" w:ascii="仿宋" w:hAnsi="仿宋" w:eastAsia="仿宋" w:cs="仿宋"/>
          <w:bCs/>
          <w:sz w:val="28"/>
          <w:szCs w:val="28"/>
        </w:rPr>
        <w:t>。</w:t>
      </w:r>
    </w:p>
    <w:p>
      <w:pPr>
        <w:spacing w:line="500" w:lineRule="exact"/>
        <w:ind w:firstLine="560"/>
        <w:outlineLvl w:val="1"/>
        <w:rPr>
          <w:rFonts w:ascii="黑体" w:hAnsi="黑体" w:eastAsia="黑体"/>
          <w:sz w:val="28"/>
          <w:szCs w:val="28"/>
        </w:rPr>
      </w:pPr>
      <w:r>
        <w:rPr>
          <w:rFonts w:hint="eastAsia" w:ascii="黑体" w:hAnsi="黑体" w:eastAsia="黑体"/>
          <w:sz w:val="28"/>
          <w:szCs w:val="28"/>
        </w:rPr>
        <w:t>七、质量保证期限</w:t>
      </w:r>
    </w:p>
    <w:p>
      <w:pPr>
        <w:spacing w:line="500" w:lineRule="exact"/>
        <w:ind w:firstLine="560"/>
        <w:rPr>
          <w:rFonts w:ascii="黑体" w:hAnsi="黑体" w:eastAsia="黑体"/>
          <w:sz w:val="28"/>
          <w:szCs w:val="28"/>
        </w:rPr>
      </w:pPr>
      <w:r>
        <w:rPr>
          <w:rFonts w:hint="eastAsia" w:ascii="仿宋" w:hAnsi="仿宋" w:eastAsia="仿宋"/>
          <w:sz w:val="28"/>
          <w:szCs w:val="28"/>
        </w:rPr>
        <w:t>自交货并验收合格之日起计</w:t>
      </w:r>
      <w:r>
        <w:rPr>
          <w:rFonts w:hint="eastAsia" w:ascii="仿宋" w:hAnsi="仿宋" w:eastAsia="仿宋"/>
          <w:sz w:val="28"/>
          <w:szCs w:val="28"/>
          <w:u w:val="single"/>
        </w:rPr>
        <w:t>叁年</w:t>
      </w:r>
      <w:r>
        <w:rPr>
          <w:rFonts w:hint="eastAsia" w:ascii="仿宋" w:hAnsi="仿宋" w:eastAsia="仿宋"/>
          <w:sz w:val="28"/>
          <w:szCs w:val="28"/>
        </w:rPr>
        <w:t>（整机）。</w:t>
      </w:r>
    </w:p>
    <w:p>
      <w:pPr>
        <w:spacing w:line="500" w:lineRule="exact"/>
        <w:ind w:firstLine="560"/>
        <w:outlineLvl w:val="1"/>
        <w:rPr>
          <w:rFonts w:ascii="黑体" w:hAnsi="黑体" w:eastAsia="黑体"/>
          <w:sz w:val="28"/>
          <w:szCs w:val="28"/>
        </w:rPr>
      </w:pPr>
      <w:r>
        <w:rPr>
          <w:rFonts w:hint="eastAsia" w:ascii="黑体" w:hAnsi="黑体" w:eastAsia="黑体"/>
          <w:sz w:val="28"/>
          <w:szCs w:val="28"/>
        </w:rPr>
        <w:t>八、售后服务</w:t>
      </w:r>
    </w:p>
    <w:p>
      <w:pPr>
        <w:spacing w:line="500" w:lineRule="exact"/>
        <w:ind w:firstLine="560"/>
        <w:rPr>
          <w:rFonts w:ascii="仿宋" w:hAnsi="仿宋" w:eastAsia="仿宋"/>
          <w:sz w:val="28"/>
          <w:szCs w:val="28"/>
        </w:rPr>
      </w:pPr>
      <w:r>
        <w:rPr>
          <w:rFonts w:hint="eastAsia" w:ascii="仿宋" w:hAnsi="仿宋" w:eastAsia="仿宋"/>
          <w:sz w:val="28"/>
          <w:szCs w:val="28"/>
        </w:rPr>
        <w:t>（一）运输、安装和调试</w:t>
      </w:r>
    </w:p>
    <w:p>
      <w:pPr>
        <w:spacing w:line="500" w:lineRule="exact"/>
        <w:ind w:firstLine="560"/>
        <w:rPr>
          <w:rFonts w:ascii="仿宋" w:hAnsi="仿宋" w:eastAsia="仿宋"/>
          <w:sz w:val="28"/>
          <w:szCs w:val="28"/>
        </w:rPr>
      </w:pPr>
      <w:r>
        <w:rPr>
          <w:rFonts w:hint="eastAsia" w:ascii="仿宋" w:hAnsi="仿宋" w:eastAsia="仿宋"/>
          <w:sz w:val="28"/>
          <w:szCs w:val="28"/>
        </w:rPr>
        <w:t>1.供应商须在合同</w:t>
      </w:r>
      <w:r>
        <w:rPr>
          <w:rFonts w:hint="eastAsia" w:ascii="仿宋" w:hAnsi="仿宋" w:eastAsia="仿宋"/>
          <w:color w:val="000000" w:themeColor="text1"/>
          <w:sz w:val="28"/>
          <w:szCs w:val="28"/>
          <w:highlight w:val="none"/>
          <w14:textFill>
            <w14:solidFill>
              <w14:schemeClr w14:val="tx1"/>
            </w14:solidFill>
          </w14:textFill>
        </w:rPr>
        <w:t>签订</w:t>
      </w:r>
      <w:r>
        <w:rPr>
          <w:rFonts w:hint="eastAsia" w:ascii="仿宋" w:hAnsi="仿宋" w:eastAsia="仿宋"/>
          <w:sz w:val="28"/>
          <w:szCs w:val="28"/>
        </w:rPr>
        <w:t>后60天内将设备运到采购人指定的地点，运费由成交供应商承担。</w:t>
      </w:r>
    </w:p>
    <w:p>
      <w:pPr>
        <w:spacing w:line="500" w:lineRule="exact"/>
        <w:ind w:firstLine="560"/>
        <w:rPr>
          <w:rFonts w:ascii="仿宋" w:hAnsi="仿宋" w:eastAsia="仿宋"/>
          <w:sz w:val="28"/>
          <w:szCs w:val="28"/>
        </w:rPr>
      </w:pPr>
      <w:r>
        <w:rPr>
          <w:rFonts w:hint="eastAsia" w:ascii="仿宋" w:hAnsi="仿宋" w:eastAsia="仿宋"/>
          <w:sz w:val="28"/>
          <w:szCs w:val="28"/>
        </w:rPr>
        <w:t>2.设备的精密部件要用木箱包装，箱内应有填充物，以防振动。箱外要有防水、朝上标记或“小心轻放”字样。一般不易损坏的零部件可用纸箱或其它方式包装。如因供应商包装不当等原因造成损坏和丢失，应由供应商负责免费修复或补缺，因此而拖延的工期，按照延迟发货对待。</w:t>
      </w:r>
    </w:p>
    <w:p>
      <w:pPr>
        <w:spacing w:line="500" w:lineRule="exact"/>
        <w:ind w:firstLine="560"/>
        <w:rPr>
          <w:rFonts w:ascii="仿宋" w:hAnsi="仿宋" w:eastAsia="仿宋"/>
          <w:sz w:val="28"/>
          <w:szCs w:val="28"/>
        </w:rPr>
      </w:pPr>
      <w:r>
        <w:rPr>
          <w:rFonts w:hint="eastAsia" w:ascii="仿宋" w:hAnsi="仿宋" w:eastAsia="仿宋"/>
          <w:sz w:val="28"/>
          <w:szCs w:val="28"/>
        </w:rPr>
        <w:t>（二）技术培训要求</w:t>
      </w:r>
    </w:p>
    <w:p>
      <w:pPr>
        <w:spacing w:line="500" w:lineRule="exact"/>
        <w:ind w:firstLine="560"/>
        <w:rPr>
          <w:rFonts w:ascii="仿宋" w:hAnsi="仿宋" w:eastAsia="仿宋"/>
          <w:sz w:val="28"/>
          <w:szCs w:val="28"/>
        </w:rPr>
      </w:pPr>
      <w:r>
        <w:rPr>
          <w:rFonts w:hint="eastAsia" w:ascii="仿宋" w:hAnsi="仿宋" w:eastAsia="仿宋"/>
          <w:sz w:val="28"/>
          <w:szCs w:val="28"/>
        </w:rPr>
        <w:t>1.成交供应商应对采购人进行技术培训，使采购人达到能独立进行管理、维护测试和故障处理等工作，以便供应商所提供的设备能够正常、安全的运行。具体为现场培训和使用培训。现场培训指供应商在安装设备时，对采购人进行最基本的培训。使用培训指供应商在设备出厂前，为采购人集中进行日常使用、维护等方面的培训，使采购人达到能独立进行管理、维护测试和故障处理等工作。</w:t>
      </w:r>
    </w:p>
    <w:p>
      <w:pPr>
        <w:spacing w:line="500" w:lineRule="exact"/>
        <w:ind w:firstLine="560"/>
        <w:rPr>
          <w:rFonts w:ascii="仿宋" w:hAnsi="仿宋" w:eastAsia="仿宋"/>
          <w:sz w:val="28"/>
          <w:szCs w:val="28"/>
        </w:rPr>
      </w:pPr>
      <w:r>
        <w:rPr>
          <w:rFonts w:hint="eastAsia" w:ascii="仿宋" w:hAnsi="仿宋" w:eastAsia="仿宋"/>
          <w:sz w:val="28"/>
          <w:szCs w:val="28"/>
        </w:rPr>
        <w:t>2.培训内容应包括：供应商所提供的设备的相关技术原理、性能、操作使用方法、维护管理的技术、实际的操作练习等。</w:t>
      </w:r>
    </w:p>
    <w:p>
      <w:pPr>
        <w:spacing w:line="500" w:lineRule="exact"/>
        <w:ind w:firstLine="560"/>
        <w:outlineLvl w:val="1"/>
        <w:rPr>
          <w:rFonts w:ascii="黑体" w:hAnsi="黑体" w:eastAsia="黑体"/>
          <w:sz w:val="28"/>
          <w:szCs w:val="28"/>
        </w:rPr>
      </w:pPr>
      <w:r>
        <w:rPr>
          <w:rFonts w:hint="eastAsia" w:ascii="黑体" w:hAnsi="黑体" w:eastAsia="黑体"/>
          <w:sz w:val="28"/>
          <w:szCs w:val="28"/>
        </w:rPr>
        <w:t>九、付款方式</w:t>
      </w:r>
    </w:p>
    <w:p>
      <w:pPr>
        <w:spacing w:line="500" w:lineRule="exact"/>
        <w:ind w:firstLine="560"/>
        <w:rPr>
          <w:rFonts w:ascii="仿宋" w:hAnsi="仿宋" w:eastAsia="仿宋"/>
          <w:sz w:val="28"/>
          <w:szCs w:val="28"/>
        </w:rPr>
      </w:pPr>
      <w:r>
        <w:rPr>
          <w:rFonts w:hint="eastAsia" w:ascii="仿宋" w:hAnsi="仿宋" w:eastAsia="仿宋"/>
          <w:sz w:val="28"/>
          <w:szCs w:val="28"/>
          <w:lang w:val="en-US" w:eastAsia="zh-CN"/>
        </w:rPr>
        <w:t>采购仪器设备到货签收</w:t>
      </w:r>
      <w:bookmarkStart w:id="42" w:name="_GoBack"/>
      <w:bookmarkEnd w:id="42"/>
      <w:r>
        <w:rPr>
          <w:rFonts w:hint="eastAsia" w:ascii="仿宋" w:hAnsi="仿宋" w:eastAsia="仿宋"/>
          <w:sz w:val="28"/>
          <w:szCs w:val="28"/>
        </w:rPr>
        <w:t>后30个工作日内支付预付款，预付款16万元；合同履行完毕验收合格后90个工作日内，支付剩余合同金额。每次支付前，成交供应商均应出具在税务部门开具的正式税票。</w:t>
      </w:r>
    </w:p>
    <w:p>
      <w:pPr>
        <w:spacing w:line="500" w:lineRule="exact"/>
        <w:ind w:firstLine="560"/>
        <w:outlineLvl w:val="1"/>
        <w:rPr>
          <w:rFonts w:ascii="仿宋" w:hAnsi="仿宋" w:eastAsia="仿宋"/>
          <w:sz w:val="28"/>
          <w:szCs w:val="28"/>
        </w:rPr>
      </w:pPr>
      <w:r>
        <w:rPr>
          <w:rFonts w:hint="eastAsia" w:ascii="黑体" w:hAnsi="黑体" w:eastAsia="黑体"/>
          <w:sz w:val="28"/>
          <w:szCs w:val="28"/>
        </w:rPr>
        <w:t>十、磋商过程中可能会实质性变动的内容</w:t>
      </w:r>
    </w:p>
    <w:p>
      <w:pPr>
        <w:spacing w:line="500" w:lineRule="exact"/>
        <w:ind w:firstLine="560"/>
        <w:rPr>
          <w:rFonts w:ascii="仿宋" w:hAnsi="仿宋" w:eastAsia="仿宋"/>
          <w:sz w:val="28"/>
          <w:szCs w:val="28"/>
        </w:rPr>
      </w:pPr>
      <w:r>
        <w:rPr>
          <w:rFonts w:hint="eastAsia" w:ascii="仿宋" w:hAnsi="仿宋" w:eastAsia="仿宋"/>
          <w:sz w:val="28"/>
          <w:szCs w:val="28"/>
        </w:rPr>
        <w:t>采购需求中的技术要求以及合同草案条款。</w:t>
      </w:r>
    </w:p>
    <w:p>
      <w:pPr>
        <w:spacing w:line="500" w:lineRule="exact"/>
        <w:ind w:firstLine="560"/>
        <w:outlineLvl w:val="1"/>
        <w:rPr>
          <w:rFonts w:ascii="黑体" w:hAnsi="黑体" w:eastAsia="黑体"/>
          <w:sz w:val="28"/>
          <w:szCs w:val="28"/>
        </w:rPr>
      </w:pPr>
      <w:r>
        <w:rPr>
          <w:rFonts w:hint="eastAsia" w:ascii="黑体" w:hAnsi="黑体" w:eastAsia="黑体"/>
          <w:sz w:val="28"/>
          <w:szCs w:val="28"/>
        </w:rPr>
        <w:t>十一、其他要求</w:t>
      </w:r>
    </w:p>
    <w:p>
      <w:pPr>
        <w:spacing w:line="500" w:lineRule="exact"/>
        <w:ind w:firstLine="56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b/>
          <w:bCs/>
          <w:sz w:val="28"/>
          <w:szCs w:val="28"/>
        </w:rPr>
        <w:t>本项目报价方式：本项目采用总价报价</w:t>
      </w:r>
      <w:r>
        <w:rPr>
          <w:rFonts w:hint="eastAsia" w:ascii="仿宋" w:hAnsi="仿宋" w:eastAsia="仿宋"/>
          <w:sz w:val="28"/>
          <w:szCs w:val="28"/>
        </w:rPr>
        <w:t>。响应供应商报价应包含设备的制造、包装、运输、装卸、保险、安装调试、验收、人员培训、检验、税金、代理服务费等与本项目相关的一切费用。</w:t>
      </w:r>
    </w:p>
    <w:p>
      <w:pPr>
        <w:spacing w:line="500" w:lineRule="exact"/>
        <w:ind w:firstLine="560"/>
        <w:jc w:val="left"/>
        <w:rPr>
          <w:rFonts w:ascii="仿宋" w:hAnsi="仿宋" w:eastAsia="仿宋"/>
          <w:sz w:val="28"/>
          <w:szCs w:val="28"/>
        </w:rPr>
      </w:pPr>
      <w:bookmarkStart w:id="18" w:name="_Toc2139"/>
      <w:bookmarkStart w:id="19" w:name="_Toc115"/>
      <w:bookmarkStart w:id="20" w:name="_Toc14386"/>
      <w:r>
        <w:rPr>
          <w:rFonts w:hint="eastAsia" w:ascii="仿宋" w:hAnsi="仿宋" w:eastAsia="仿宋"/>
          <w:sz w:val="28"/>
          <w:szCs w:val="28"/>
        </w:rPr>
        <w:t>2.响应供应商应对磋商文件内的全部内容进行报价，磋商文件未列明，而供应商认为其他必需的费用也需列入报价。在合同实施时，采购方将不予支付成交人任何其他增项费用。</w:t>
      </w:r>
      <w:bookmarkEnd w:id="18"/>
      <w:bookmarkEnd w:id="19"/>
      <w:bookmarkEnd w:id="20"/>
    </w:p>
    <w:p>
      <w:pPr>
        <w:spacing w:line="500" w:lineRule="exact"/>
        <w:ind w:firstLine="560"/>
        <w:jc w:val="left"/>
        <w:rPr>
          <w:rFonts w:ascii="仿宋" w:hAnsi="仿宋" w:eastAsia="仿宋" w:cs="仿宋"/>
          <w:bCs/>
          <w:sz w:val="28"/>
          <w:szCs w:val="28"/>
        </w:rPr>
      </w:pPr>
      <w:r>
        <w:rPr>
          <w:rFonts w:hint="eastAsia" w:ascii="仿宋" w:hAnsi="仿宋" w:eastAsia="仿宋"/>
          <w:sz w:val="28"/>
          <w:szCs w:val="28"/>
        </w:rPr>
        <w:t>3.</w:t>
      </w:r>
      <w:r>
        <w:rPr>
          <w:rFonts w:hint="eastAsia" w:ascii="仿宋" w:hAnsi="仿宋" w:eastAsia="仿宋" w:cs="仿宋"/>
          <w:bCs/>
          <w:sz w:val="28"/>
          <w:szCs w:val="28"/>
        </w:rPr>
        <w:t>响应供应商应依照规定提交各类声明函、承诺函等，不要求提供原件备查或有关部门出具的相关证明文件，承诺函之内容应全面符合采购人要求，如若中标后在核查过程中出现负偏离，则视为无效投标，相应后果及损失由中标或成交供应商承担。</w:t>
      </w:r>
    </w:p>
    <w:p>
      <w:pPr>
        <w:spacing w:line="500" w:lineRule="exact"/>
        <w:ind w:firstLine="560"/>
        <w:jc w:val="left"/>
        <w:rPr>
          <w:rFonts w:ascii="仿宋" w:hAnsi="仿宋" w:eastAsia="仿宋" w:cs="仿宋"/>
          <w:b/>
          <w:sz w:val="28"/>
          <w:szCs w:val="28"/>
        </w:rPr>
      </w:pPr>
      <w:r>
        <w:rPr>
          <w:rFonts w:hint="eastAsia" w:ascii="仿宋" w:hAnsi="仿宋" w:eastAsia="仿宋" w:cs="仿宋"/>
          <w:bCs/>
          <w:sz w:val="28"/>
          <w:szCs w:val="28"/>
        </w:rPr>
        <w:t>4.成交供应商应做好提交声明函、承诺函等响应原件的核查准备，核查后发现虚假应标或违背承诺的，将上报采购监管部门，依照相关法律法规规定处理。</w:t>
      </w:r>
    </w:p>
    <w:p>
      <w:pPr>
        <w:ind w:firstLine="560" w:firstLineChars="200"/>
        <w:outlineLvl w:val="0"/>
        <w:rPr>
          <w:rFonts w:ascii="宋体" w:hAnsi="宋体"/>
          <w:b/>
          <w:bCs/>
          <w:sz w:val="24"/>
          <w:szCs w:val="24"/>
          <w:lang w:val="zh-CN"/>
        </w:rPr>
      </w:pPr>
      <w:r>
        <w:rPr>
          <w:rFonts w:hint="eastAsia" w:ascii="黑体" w:hAnsi="黑体" w:eastAsia="黑体" w:cs="黑体"/>
          <w:sz w:val="28"/>
          <w:szCs w:val="28"/>
        </w:rPr>
        <w:t>十二</w:t>
      </w:r>
      <w:r>
        <w:rPr>
          <w:rFonts w:hint="eastAsia" w:ascii="黑体" w:hAnsi="黑体" w:eastAsia="黑体" w:cs="黑体"/>
          <w:sz w:val="28"/>
          <w:szCs w:val="28"/>
          <w:lang w:val="zh-CN"/>
        </w:rPr>
        <w:t>、其它相关说明</w:t>
      </w:r>
    </w:p>
    <w:p>
      <w:pPr>
        <w:spacing w:line="500" w:lineRule="exact"/>
        <w:ind w:firstLine="560"/>
        <w:jc w:val="left"/>
        <w:rPr>
          <w:rFonts w:ascii="仿宋" w:hAnsi="仿宋" w:eastAsia="仿宋" w:cs="仿宋"/>
          <w:bCs/>
          <w:sz w:val="28"/>
          <w:szCs w:val="28"/>
        </w:rPr>
      </w:pPr>
      <w:r>
        <w:rPr>
          <w:rFonts w:hint="eastAsia" w:ascii="仿宋" w:hAnsi="仿宋" w:eastAsia="仿宋" w:cs="仿宋"/>
          <w:bCs/>
          <w:sz w:val="28"/>
          <w:szCs w:val="28"/>
        </w:rPr>
        <w:t>1.招标文件不收取工本费，请投标单位自行下载。</w:t>
      </w:r>
    </w:p>
    <w:p>
      <w:pPr>
        <w:spacing w:line="500" w:lineRule="exact"/>
        <w:ind w:firstLine="560"/>
        <w:jc w:val="left"/>
        <w:rPr>
          <w:rFonts w:ascii="仿宋" w:hAnsi="仿宋" w:eastAsia="仿宋" w:cs="仿宋"/>
          <w:bCs/>
          <w:sz w:val="28"/>
          <w:szCs w:val="28"/>
        </w:rPr>
      </w:pPr>
      <w:r>
        <w:rPr>
          <w:rFonts w:hint="eastAsia" w:ascii="仿宋" w:hAnsi="仿宋" w:eastAsia="仿宋" w:cs="仿宋"/>
          <w:bCs/>
          <w:sz w:val="28"/>
          <w:szCs w:val="28"/>
        </w:rPr>
        <w:t>2.无论投标结果如何，投标方自行承担与投标相应有关的全部费用。</w:t>
      </w:r>
    </w:p>
    <w:p>
      <w:pPr>
        <w:pStyle w:val="10"/>
        <w:jc w:val="center"/>
        <w:rPr>
          <w:rFonts w:ascii="宋体" w:hAnsi="宋体"/>
          <w:b/>
          <w:sz w:val="44"/>
          <w:szCs w:val="44"/>
        </w:rPr>
      </w:pPr>
      <w:r>
        <w:rPr>
          <w:rFonts w:ascii="宋体" w:hAnsi="宋体"/>
        </w:rPr>
        <w:br w:type="page"/>
      </w:r>
      <w:r>
        <w:rPr>
          <w:rFonts w:hint="eastAsia" w:ascii="宋体" w:hAnsi="宋体"/>
          <w:b/>
          <w:bCs/>
          <w:sz w:val="44"/>
          <w:szCs w:val="44"/>
        </w:rPr>
        <w:t>第三部分   投标人须知</w:t>
      </w:r>
      <w:bookmarkEnd w:id="15"/>
    </w:p>
    <w:p>
      <w:pPr>
        <w:pStyle w:val="4"/>
        <w:rPr>
          <w:rFonts w:ascii="宋体" w:hAnsi="宋体" w:eastAsia="宋体"/>
        </w:rPr>
      </w:pPr>
      <w:bookmarkStart w:id="21" w:name="_Toc469579840"/>
      <w:bookmarkStart w:id="22" w:name="_Toc454701373"/>
      <w:bookmarkStart w:id="23" w:name="_Toc458262606"/>
      <w:bookmarkStart w:id="24" w:name="_Toc5575602"/>
      <w:bookmarkStart w:id="25" w:name="_Toc52352451"/>
      <w:bookmarkStart w:id="26" w:name="_Toc20564521"/>
      <w:bookmarkStart w:id="27" w:name="_Toc20564609"/>
      <w:bookmarkStart w:id="28" w:name="_Toc20571355"/>
      <w:bookmarkStart w:id="29" w:name="_Toc20144975"/>
      <w:bookmarkStart w:id="30" w:name="_Toc5578665"/>
      <w:r>
        <w:rPr>
          <w:rFonts w:hint="eastAsia" w:ascii="宋体" w:hAnsi="宋体" w:eastAsia="宋体"/>
        </w:rPr>
        <w:t>一、招标采购文件说明</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1</w:t>
      </w:r>
      <w:r>
        <w:rPr>
          <w:rFonts w:hint="eastAsia" w:ascii="仿宋" w:hAnsi="仿宋" w:eastAsia="仿宋"/>
          <w:sz w:val="28"/>
          <w:szCs w:val="28"/>
        </w:rPr>
        <w:t>.</w:t>
      </w:r>
      <w:r>
        <w:rPr>
          <w:rFonts w:hint="eastAsia" w:ascii="仿宋" w:hAnsi="仿宋" w:eastAsia="仿宋"/>
          <w:sz w:val="28"/>
          <w:szCs w:val="28"/>
          <w:lang w:val="en-GB"/>
        </w:rPr>
        <w:t>招标采购文件由招标方负责解释。</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2</w:t>
      </w:r>
      <w:r>
        <w:rPr>
          <w:rFonts w:hint="eastAsia" w:ascii="仿宋" w:hAnsi="仿宋" w:eastAsia="仿宋"/>
          <w:sz w:val="28"/>
          <w:szCs w:val="28"/>
        </w:rPr>
        <w:t>.</w:t>
      </w:r>
      <w:r>
        <w:rPr>
          <w:rFonts w:hint="eastAsia" w:ascii="仿宋" w:hAnsi="仿宋" w:eastAsia="仿宋"/>
          <w:sz w:val="28"/>
          <w:szCs w:val="28"/>
          <w:lang w:val="en-GB"/>
        </w:rPr>
        <w:t>招标采购文件由下述部分组成：</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第一部分   招标公告</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第二部分   采购项目需求</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第三部分   投标人须知</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第四部分   评审标准和方法</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第五部分</w:t>
      </w:r>
      <w:r>
        <w:rPr>
          <w:rFonts w:hint="eastAsia" w:ascii="仿宋" w:hAnsi="仿宋" w:eastAsia="仿宋"/>
          <w:sz w:val="28"/>
          <w:szCs w:val="28"/>
        </w:rPr>
        <w:t xml:space="preserve">   </w:t>
      </w:r>
      <w:r>
        <w:rPr>
          <w:rFonts w:hint="eastAsia" w:ascii="仿宋" w:hAnsi="仿宋" w:eastAsia="仿宋"/>
          <w:sz w:val="28"/>
          <w:szCs w:val="28"/>
          <w:lang w:val="en-GB"/>
        </w:rPr>
        <w:t>拟签订的合同文本</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第六部分   质疑提出和处理</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第七部分</w:t>
      </w:r>
      <w:r>
        <w:rPr>
          <w:rFonts w:hint="eastAsia" w:ascii="仿宋" w:hAnsi="仿宋" w:eastAsia="仿宋"/>
          <w:sz w:val="28"/>
          <w:szCs w:val="28"/>
        </w:rPr>
        <w:t xml:space="preserve">   </w:t>
      </w:r>
      <w:r>
        <w:rPr>
          <w:rFonts w:hint="eastAsia" w:ascii="仿宋" w:hAnsi="仿宋" w:eastAsia="仿宋"/>
          <w:sz w:val="28"/>
          <w:szCs w:val="28"/>
          <w:lang w:val="en-GB"/>
        </w:rPr>
        <w:t xml:space="preserve">投标文件格式 </w:t>
      </w:r>
    </w:p>
    <w:p>
      <w:pPr>
        <w:pStyle w:val="4"/>
        <w:rPr>
          <w:rFonts w:ascii="宋体" w:hAnsi="宋体" w:eastAsia="宋体"/>
        </w:rPr>
      </w:pPr>
      <w:r>
        <w:rPr>
          <w:rFonts w:hint="eastAsia" w:ascii="宋体" w:hAnsi="宋体" w:eastAsia="宋体"/>
        </w:rPr>
        <w:t>二、招标采购文件的澄清</w:t>
      </w:r>
      <w:bookmarkEnd w:id="21"/>
      <w:bookmarkEnd w:id="22"/>
      <w:bookmarkEnd w:id="23"/>
      <w:r>
        <w:rPr>
          <w:rFonts w:hint="eastAsia" w:ascii="宋体" w:hAnsi="宋体" w:eastAsia="宋体"/>
        </w:rPr>
        <w:t>和修改</w:t>
      </w:r>
      <w:bookmarkEnd w:id="24"/>
      <w:bookmarkEnd w:id="25"/>
      <w:bookmarkEnd w:id="26"/>
      <w:bookmarkEnd w:id="27"/>
      <w:bookmarkEnd w:id="28"/>
      <w:bookmarkEnd w:id="29"/>
      <w:bookmarkEnd w:id="30"/>
    </w:p>
    <w:p>
      <w:pPr>
        <w:spacing w:line="500" w:lineRule="exact"/>
        <w:ind w:firstLine="560"/>
        <w:rPr>
          <w:rFonts w:ascii="仿宋" w:hAnsi="仿宋" w:eastAsia="仿宋"/>
          <w:sz w:val="28"/>
          <w:szCs w:val="28"/>
        </w:rPr>
      </w:pPr>
      <w:bookmarkStart w:id="31" w:name="_Toc52352452"/>
      <w:r>
        <w:rPr>
          <w:rFonts w:hint="eastAsia" w:ascii="仿宋" w:hAnsi="仿宋" w:eastAsia="仿宋"/>
          <w:sz w:val="28"/>
          <w:szCs w:val="28"/>
        </w:rPr>
        <w:t>1.供应商领取招标文件后，应仔细检查招标文件的所有内容，如对本次招标文件存在疑问，请将书面询问文件在本项目投标截止时间24小时前，送至招标人，由采购单位作统一答复；如规定时间内未收到任何书面质疑，则视为各投标供应商均理解并接受本招标文件所有内容。同时供应商不得在招标结束后针对招标文件所有内容提出质疑事项。</w:t>
      </w:r>
    </w:p>
    <w:p>
      <w:pPr>
        <w:spacing w:line="500" w:lineRule="exact"/>
        <w:ind w:firstLine="560"/>
        <w:rPr>
          <w:rFonts w:ascii="仿宋" w:hAnsi="仿宋" w:eastAsia="仿宋"/>
          <w:sz w:val="28"/>
          <w:szCs w:val="28"/>
        </w:rPr>
      </w:pPr>
      <w:r>
        <w:rPr>
          <w:rFonts w:hint="eastAsia" w:ascii="仿宋" w:hAnsi="仿宋" w:eastAsia="仿宋"/>
          <w:sz w:val="28"/>
          <w:szCs w:val="28"/>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spacing w:line="500" w:lineRule="exact"/>
        <w:ind w:firstLine="560"/>
        <w:rPr>
          <w:rFonts w:ascii="仿宋" w:hAnsi="仿宋" w:eastAsia="仿宋"/>
          <w:sz w:val="28"/>
          <w:szCs w:val="28"/>
        </w:rPr>
      </w:pPr>
      <w:r>
        <w:rPr>
          <w:rFonts w:hint="eastAsia" w:ascii="仿宋" w:hAnsi="仿宋" w:eastAsia="仿宋"/>
          <w:sz w:val="28"/>
          <w:szCs w:val="28"/>
        </w:rPr>
        <w:t>3.采购单位有权对发出的招标文件进行必要的澄清或修改。采购单位对招标文件的澄清、修改将构成招标文件的一部分，对所有投标供应商具有约束力。</w:t>
      </w:r>
    </w:p>
    <w:p>
      <w:pPr>
        <w:spacing w:line="500" w:lineRule="exact"/>
        <w:ind w:firstLine="560"/>
        <w:rPr>
          <w:rFonts w:ascii="仿宋" w:hAnsi="仿宋" w:eastAsia="仿宋"/>
          <w:sz w:val="28"/>
          <w:szCs w:val="28"/>
        </w:rPr>
      </w:pPr>
      <w:r>
        <w:rPr>
          <w:rFonts w:hint="eastAsia" w:ascii="仿宋" w:hAnsi="仿宋" w:eastAsia="仿宋"/>
          <w:sz w:val="28"/>
          <w:szCs w:val="28"/>
        </w:rPr>
        <w:t>4.采购单位可视情取消、延长投标截止时间和开标时间，不负责解释。</w:t>
      </w:r>
    </w:p>
    <w:p>
      <w:pPr>
        <w:spacing w:line="500" w:lineRule="exact"/>
        <w:ind w:firstLine="560"/>
        <w:rPr>
          <w:rFonts w:ascii="仿宋" w:hAnsi="仿宋" w:eastAsia="仿宋"/>
          <w:sz w:val="28"/>
          <w:szCs w:val="28"/>
        </w:rPr>
      </w:pPr>
      <w:r>
        <w:rPr>
          <w:rFonts w:hint="eastAsia" w:ascii="仿宋" w:hAnsi="仿宋" w:eastAsia="仿宋"/>
          <w:sz w:val="28"/>
          <w:szCs w:val="28"/>
        </w:rPr>
        <w:t>5.投标供应商由于对招标文件的任何推论和误解以及采购单位对有关问题的口头解释所造成的后果，均由投标供应商自负。</w:t>
      </w:r>
    </w:p>
    <w:p>
      <w:pPr>
        <w:spacing w:line="500" w:lineRule="exact"/>
        <w:ind w:firstLine="560"/>
        <w:rPr>
          <w:rFonts w:ascii="仿宋" w:hAnsi="仿宋" w:eastAsia="仿宋"/>
          <w:sz w:val="28"/>
          <w:szCs w:val="28"/>
        </w:rPr>
      </w:pPr>
      <w:r>
        <w:rPr>
          <w:rFonts w:hint="eastAsia" w:ascii="仿宋" w:hAnsi="仿宋" w:eastAsia="仿宋"/>
          <w:sz w:val="28"/>
          <w:szCs w:val="28"/>
        </w:rPr>
        <w:t>6.采购单位视情组织答疑会。</w:t>
      </w:r>
    </w:p>
    <w:p>
      <w:pPr>
        <w:pStyle w:val="4"/>
        <w:rPr>
          <w:rFonts w:ascii="宋体" w:hAnsi="宋体" w:eastAsia="宋体"/>
        </w:rPr>
      </w:pPr>
      <w:r>
        <w:rPr>
          <w:rFonts w:hint="eastAsia" w:ascii="宋体" w:hAnsi="宋体" w:eastAsia="宋体"/>
          <w:lang w:val="en-GB"/>
        </w:rPr>
        <w:t>三</w:t>
      </w:r>
      <w:r>
        <w:rPr>
          <w:rFonts w:hint="eastAsia" w:ascii="宋体" w:hAnsi="宋体" w:eastAsia="宋体"/>
        </w:rPr>
        <w:t>、投标文件的制作</w:t>
      </w:r>
      <w:bookmarkEnd w:id="31"/>
    </w:p>
    <w:p>
      <w:pPr>
        <w:pStyle w:val="6"/>
        <w:spacing w:before="0" w:after="0"/>
        <w:ind w:firstLine="562" w:firstLineChars="200"/>
        <w:rPr>
          <w:rFonts w:ascii="宋体" w:hAnsi="宋体" w:eastAsia="宋体"/>
          <w:sz w:val="28"/>
        </w:rPr>
      </w:pPr>
      <w:bookmarkStart w:id="32" w:name="_Toc20564523"/>
      <w:bookmarkStart w:id="33" w:name="_Toc5575604"/>
      <w:bookmarkStart w:id="34" w:name="_Toc20144977"/>
      <w:bookmarkStart w:id="35" w:name="_Toc5578667"/>
      <w:bookmarkStart w:id="36" w:name="_Toc20571357"/>
      <w:bookmarkStart w:id="37" w:name="_Toc20564611"/>
      <w:r>
        <w:rPr>
          <w:rFonts w:hint="eastAsia" w:ascii="宋体" w:hAnsi="宋体" w:eastAsia="宋体"/>
          <w:sz w:val="28"/>
        </w:rPr>
        <w:t>1.原则</w:t>
      </w:r>
      <w:bookmarkEnd w:id="32"/>
      <w:bookmarkEnd w:id="33"/>
      <w:bookmarkEnd w:id="34"/>
      <w:bookmarkEnd w:id="35"/>
      <w:bookmarkEnd w:id="36"/>
      <w:bookmarkEnd w:id="37"/>
    </w:p>
    <w:p>
      <w:pPr>
        <w:ind w:firstLine="560" w:firstLineChars="200"/>
        <w:rPr>
          <w:rFonts w:ascii="仿宋" w:hAnsi="仿宋" w:eastAsia="仿宋"/>
          <w:sz w:val="28"/>
          <w:szCs w:val="28"/>
        </w:rPr>
      </w:pPr>
      <w:r>
        <w:rPr>
          <w:rFonts w:hint="eastAsia" w:ascii="仿宋" w:hAnsi="仿宋" w:eastAsia="仿宋"/>
          <w:sz w:val="28"/>
          <w:szCs w:val="28"/>
        </w:rPr>
        <w:t>（1）投标人应保证所提供的所有资料的真实性、准确性。</w:t>
      </w:r>
    </w:p>
    <w:p>
      <w:pPr>
        <w:ind w:firstLine="560" w:firstLineChars="200"/>
        <w:rPr>
          <w:rFonts w:ascii="仿宋" w:hAnsi="仿宋" w:eastAsia="仿宋"/>
          <w:sz w:val="28"/>
          <w:szCs w:val="28"/>
        </w:rPr>
      </w:pPr>
      <w:r>
        <w:rPr>
          <w:rFonts w:hint="eastAsia" w:ascii="仿宋" w:hAnsi="仿宋" w:eastAsia="仿宋"/>
          <w:sz w:val="28"/>
          <w:szCs w:val="28"/>
        </w:rPr>
        <w:t>（2）投标人在招标过程中提供不真实的材料，无论其材料是否重要，采购方都将终止其投标资格，投标人需承担相应的后果及法律责任。</w:t>
      </w:r>
    </w:p>
    <w:p>
      <w:pPr>
        <w:ind w:firstLine="560" w:firstLineChars="200"/>
        <w:rPr>
          <w:rFonts w:ascii="仿宋" w:hAnsi="仿宋" w:eastAsia="仿宋"/>
          <w:sz w:val="28"/>
          <w:szCs w:val="28"/>
        </w:rPr>
      </w:pPr>
      <w:r>
        <w:rPr>
          <w:rFonts w:hint="eastAsia" w:ascii="仿宋" w:hAnsi="仿宋" w:eastAsia="仿宋"/>
          <w:sz w:val="28"/>
          <w:szCs w:val="28"/>
        </w:rPr>
        <w:t>（3）采购方拒绝接受电报、电话或传真形式的投标文件。</w:t>
      </w:r>
    </w:p>
    <w:p>
      <w:pPr>
        <w:pStyle w:val="6"/>
        <w:spacing w:before="0" w:after="0"/>
        <w:ind w:firstLine="562" w:firstLineChars="200"/>
        <w:rPr>
          <w:rFonts w:ascii="宋体" w:hAnsi="宋体" w:eastAsia="宋体"/>
          <w:sz w:val="28"/>
        </w:rPr>
      </w:pPr>
      <w:r>
        <w:rPr>
          <w:rFonts w:hint="eastAsia" w:ascii="宋体" w:hAnsi="宋体" w:eastAsia="宋体"/>
          <w:sz w:val="28"/>
        </w:rPr>
        <w:t>2.投标文件的组成：见本招标采购文件第七部分“投标文件格式”</w:t>
      </w:r>
    </w:p>
    <w:p>
      <w:pPr>
        <w:ind w:firstLine="560" w:firstLineChars="200"/>
        <w:rPr>
          <w:rFonts w:ascii="仿宋" w:hAnsi="仿宋" w:eastAsia="仿宋"/>
          <w:sz w:val="28"/>
          <w:szCs w:val="28"/>
          <w:lang w:val="zh-CN"/>
        </w:rPr>
      </w:pPr>
      <w:r>
        <w:rPr>
          <w:rFonts w:hint="eastAsia" w:ascii="仿宋" w:hAnsi="仿宋" w:eastAsia="仿宋"/>
          <w:sz w:val="28"/>
          <w:szCs w:val="28"/>
        </w:rPr>
        <w:t>特别提示：不能提供原件的，复印件请加盖单位公章。</w:t>
      </w:r>
    </w:p>
    <w:p>
      <w:pPr>
        <w:pStyle w:val="6"/>
        <w:spacing w:before="0" w:after="0"/>
        <w:ind w:firstLine="562" w:firstLineChars="200"/>
        <w:rPr>
          <w:rFonts w:ascii="宋体" w:hAnsi="宋体" w:eastAsia="宋体"/>
          <w:sz w:val="28"/>
        </w:rPr>
      </w:pPr>
      <w:r>
        <w:rPr>
          <w:rFonts w:hint="eastAsia" w:ascii="宋体" w:hAnsi="宋体" w:eastAsia="宋体"/>
          <w:sz w:val="28"/>
        </w:rPr>
        <w:t>3.投标文件制作要求</w:t>
      </w:r>
    </w:p>
    <w:p>
      <w:pPr>
        <w:ind w:firstLine="560" w:firstLineChars="200"/>
        <w:rPr>
          <w:rFonts w:ascii="仿宋" w:hAnsi="仿宋" w:eastAsia="仿宋"/>
          <w:sz w:val="28"/>
          <w:szCs w:val="28"/>
          <w:lang w:val="en-GB"/>
        </w:rPr>
      </w:pPr>
      <w:r>
        <w:rPr>
          <w:rFonts w:hint="eastAsia" w:ascii="仿宋" w:hAnsi="仿宋" w:eastAsia="仿宋"/>
          <w:sz w:val="28"/>
          <w:szCs w:val="28"/>
          <w:lang w:val="en-GB"/>
        </w:rPr>
        <w:t>（1）投标人应按投标文件组成顺序编写、制作投标文件，并牢固装订成册。投标文件均需采用A4纸（图纸等除外）。投标文件不得行间插字、涂改、增删，如修改错漏处，须经投标文件签署人签字并加盖公章。</w:t>
      </w:r>
    </w:p>
    <w:p>
      <w:pPr>
        <w:ind w:firstLine="560" w:firstLineChars="200"/>
        <w:rPr>
          <w:rFonts w:ascii="仿宋" w:hAnsi="仿宋" w:eastAsia="仿宋"/>
          <w:sz w:val="28"/>
          <w:szCs w:val="28"/>
          <w:lang w:val="en-GB"/>
        </w:rPr>
      </w:pPr>
      <w:r>
        <w:rPr>
          <w:rFonts w:hint="eastAsia" w:ascii="仿宋" w:hAnsi="仿宋" w:eastAsia="仿宋"/>
          <w:sz w:val="28"/>
          <w:szCs w:val="28"/>
          <w:lang w:val="en-GB"/>
        </w:rPr>
        <w:t>（2）</w:t>
      </w:r>
      <w:r>
        <w:rPr>
          <w:rFonts w:hint="eastAsia" w:ascii="仿宋" w:hAnsi="仿宋" w:eastAsia="仿宋"/>
          <w:sz w:val="28"/>
          <w:szCs w:val="28"/>
        </w:rPr>
        <w:t>投标文件正本一份、副本两份，在每一份投标文件上要明确标注投标人</w:t>
      </w:r>
      <w:r>
        <w:rPr>
          <w:rFonts w:hint="eastAsia" w:ascii="仿宋" w:hAnsi="仿宋" w:eastAsia="仿宋"/>
          <w:sz w:val="28"/>
          <w:szCs w:val="28"/>
          <w:lang w:val="zh-CN"/>
        </w:rPr>
        <w:t>全称、</w:t>
      </w:r>
      <w:r>
        <w:rPr>
          <w:rFonts w:hint="eastAsia" w:ascii="仿宋" w:hAnsi="仿宋" w:eastAsia="仿宋"/>
          <w:sz w:val="28"/>
          <w:szCs w:val="28"/>
        </w:rPr>
        <w:t>“正本”、“副本”字样。一旦正本和副本内容有差异，以正本为准。</w:t>
      </w:r>
    </w:p>
    <w:p>
      <w:pPr>
        <w:ind w:firstLine="560" w:firstLineChars="200"/>
        <w:rPr>
          <w:rFonts w:ascii="仿宋" w:hAnsi="仿宋" w:eastAsia="仿宋"/>
          <w:sz w:val="28"/>
          <w:szCs w:val="28"/>
          <w:lang w:val="en-GB"/>
        </w:rPr>
      </w:pPr>
      <w:r>
        <w:rPr>
          <w:rFonts w:hint="eastAsia" w:ascii="仿宋" w:hAnsi="仿宋" w:eastAsia="仿宋"/>
          <w:sz w:val="28"/>
          <w:szCs w:val="28"/>
          <w:lang w:val="en-GB"/>
        </w:rPr>
        <w:t>（3）</w:t>
      </w:r>
      <w:r>
        <w:rPr>
          <w:rFonts w:hint="eastAsia" w:ascii="仿宋" w:hAnsi="仿宋" w:eastAsia="仿宋"/>
          <w:sz w:val="28"/>
          <w:szCs w:val="28"/>
        </w:rPr>
        <w:t>投标文件正本须打印并由法定代表人或授权代表签字并加盖单位公章。副本可复印，但须加盖单位公章。</w:t>
      </w:r>
    </w:p>
    <w:p>
      <w:pPr>
        <w:ind w:firstLine="560" w:firstLineChars="200"/>
        <w:rPr>
          <w:rFonts w:ascii="仿宋" w:hAnsi="仿宋" w:eastAsia="仿宋"/>
          <w:sz w:val="28"/>
          <w:szCs w:val="28"/>
        </w:rPr>
      </w:pPr>
      <w:r>
        <w:rPr>
          <w:rFonts w:hint="eastAsia" w:ascii="仿宋" w:hAnsi="仿宋" w:eastAsia="仿宋"/>
          <w:sz w:val="28"/>
          <w:szCs w:val="28"/>
        </w:rPr>
        <w:t>（4）投标人应将本项目投标文件密封。</w:t>
      </w:r>
    </w:p>
    <w:p>
      <w:pPr>
        <w:ind w:firstLine="560" w:firstLineChars="200"/>
        <w:rPr>
          <w:rFonts w:ascii="仿宋" w:hAnsi="仿宋" w:eastAsia="仿宋"/>
          <w:sz w:val="28"/>
          <w:szCs w:val="28"/>
        </w:rPr>
      </w:pPr>
      <w:r>
        <w:rPr>
          <w:rFonts w:hint="eastAsia" w:ascii="仿宋" w:hAnsi="仿宋" w:eastAsia="仿宋"/>
          <w:sz w:val="28"/>
          <w:szCs w:val="28"/>
        </w:rPr>
        <w:t>（5）报价单一份须单独另行密封，投标报价不得出现于投标文件的正本或副本。</w:t>
      </w:r>
    </w:p>
    <w:p>
      <w:pPr>
        <w:ind w:firstLine="560" w:firstLineChars="200"/>
        <w:rPr>
          <w:rFonts w:ascii="仿宋" w:hAnsi="仿宋" w:eastAsia="仿宋"/>
          <w:sz w:val="28"/>
          <w:szCs w:val="28"/>
        </w:rPr>
      </w:pPr>
      <w:r>
        <w:rPr>
          <w:rFonts w:hint="eastAsia" w:ascii="仿宋" w:hAnsi="仿宋" w:eastAsia="仿宋"/>
          <w:sz w:val="28"/>
          <w:szCs w:val="28"/>
        </w:rPr>
        <w:t>（6）所有密封文件封套正面须标明项目名称、边缝处加盖单位骑缝章或骑缝签字，并注明于开标前不得启封。如果投标供应商未加写标记，招标方对投标文件的误投和提前启封不负责任。</w:t>
      </w:r>
    </w:p>
    <w:p>
      <w:pPr>
        <w:pStyle w:val="6"/>
        <w:spacing w:before="0" w:after="0"/>
        <w:ind w:firstLine="562" w:firstLineChars="200"/>
        <w:rPr>
          <w:rFonts w:ascii="宋体" w:hAnsi="宋体" w:eastAsia="宋体"/>
          <w:sz w:val="28"/>
        </w:rPr>
      </w:pPr>
      <w:r>
        <w:rPr>
          <w:rFonts w:hint="eastAsia" w:ascii="宋体" w:hAnsi="宋体" w:eastAsia="宋体"/>
          <w:sz w:val="28"/>
        </w:rPr>
        <w:t>4.投标报价</w:t>
      </w:r>
    </w:p>
    <w:p>
      <w:pPr>
        <w:ind w:firstLine="560" w:firstLineChars="200"/>
        <w:rPr>
          <w:rFonts w:ascii="仿宋" w:hAnsi="仿宋" w:eastAsia="仿宋"/>
          <w:sz w:val="28"/>
          <w:szCs w:val="28"/>
          <w:lang w:val="en-GB"/>
        </w:rPr>
      </w:pPr>
      <w:r>
        <w:rPr>
          <w:rFonts w:hint="eastAsia" w:ascii="仿宋" w:hAnsi="仿宋" w:eastAsia="仿宋"/>
          <w:sz w:val="28"/>
          <w:szCs w:val="28"/>
          <w:lang w:val="en-GB"/>
        </w:rPr>
        <w:t>（1）本项目报价包含的一切费用（含观测场围栏、防雷地网、基座预埋等基础建设费用）。</w:t>
      </w:r>
    </w:p>
    <w:p>
      <w:pPr>
        <w:ind w:firstLine="560" w:firstLineChars="200"/>
        <w:rPr>
          <w:rFonts w:ascii="仿宋" w:hAnsi="仿宋" w:eastAsia="仿宋"/>
          <w:sz w:val="28"/>
          <w:szCs w:val="28"/>
          <w:lang w:val="en-GB"/>
        </w:rPr>
      </w:pPr>
      <w:r>
        <w:rPr>
          <w:rFonts w:hint="eastAsia" w:ascii="仿宋" w:hAnsi="仿宋" w:eastAsia="仿宋"/>
          <w:sz w:val="28"/>
          <w:szCs w:val="28"/>
          <w:lang w:val="en-GB"/>
        </w:rPr>
        <w:t>（2）投标方免费提供的项目，也应报价并注明免费，不计入报价总价。</w:t>
      </w:r>
    </w:p>
    <w:p>
      <w:pPr>
        <w:ind w:firstLine="560" w:firstLineChars="200"/>
        <w:rPr>
          <w:rFonts w:ascii="仿宋" w:hAnsi="仿宋" w:eastAsia="仿宋"/>
          <w:sz w:val="28"/>
          <w:szCs w:val="28"/>
          <w:lang w:val="en-GB"/>
        </w:rPr>
      </w:pPr>
      <w:r>
        <w:rPr>
          <w:rFonts w:hint="eastAsia" w:ascii="仿宋" w:hAnsi="仿宋" w:eastAsia="仿宋"/>
          <w:sz w:val="28"/>
          <w:szCs w:val="28"/>
          <w:lang w:val="en-GB"/>
        </w:rPr>
        <w:t>（3）投标人应对招标文件内所要采购的全部内容进行报价，只投其中部分内容者，其投标书将被拒绝。</w:t>
      </w:r>
    </w:p>
    <w:p>
      <w:pPr>
        <w:ind w:firstLine="560" w:firstLineChars="200"/>
        <w:rPr>
          <w:rFonts w:ascii="仿宋" w:hAnsi="仿宋" w:eastAsia="仿宋"/>
          <w:sz w:val="28"/>
          <w:szCs w:val="28"/>
          <w:lang w:val="en-GB"/>
        </w:rPr>
      </w:pPr>
      <w:r>
        <w:rPr>
          <w:rFonts w:hint="eastAsia" w:ascii="仿宋" w:hAnsi="仿宋" w:eastAsia="仿宋"/>
          <w:sz w:val="28"/>
          <w:szCs w:val="28"/>
          <w:lang w:val="en-GB"/>
        </w:rPr>
        <w:t>（4）本项目为一次性报价，不接受任何有选择的报价。</w:t>
      </w:r>
    </w:p>
    <w:p>
      <w:pPr>
        <w:ind w:firstLine="560" w:firstLineChars="200"/>
        <w:rPr>
          <w:rFonts w:ascii="仿宋" w:hAnsi="仿宋" w:eastAsia="仿宋"/>
          <w:sz w:val="28"/>
          <w:szCs w:val="28"/>
          <w:lang w:val="en-GB"/>
        </w:rPr>
      </w:pPr>
      <w:r>
        <w:rPr>
          <w:rFonts w:hint="eastAsia" w:ascii="仿宋" w:hAnsi="仿宋" w:eastAsia="仿宋"/>
          <w:sz w:val="28"/>
          <w:szCs w:val="28"/>
          <w:lang w:val="en-GB"/>
        </w:rPr>
        <w:t>（5）</w:t>
      </w:r>
      <w:r>
        <w:rPr>
          <w:rFonts w:hint="eastAsia" w:ascii="仿宋" w:hAnsi="仿宋" w:eastAsia="仿宋"/>
          <w:b/>
          <w:bCs/>
          <w:sz w:val="28"/>
          <w:szCs w:val="28"/>
          <w:lang w:val="en-GB"/>
        </w:rPr>
        <w:t>本项目最高限价为人民币</w:t>
      </w:r>
      <w:r>
        <w:rPr>
          <w:rFonts w:hint="eastAsia" w:ascii="仿宋" w:hAnsi="仿宋" w:eastAsia="仿宋"/>
          <w:b/>
          <w:bCs/>
          <w:sz w:val="28"/>
          <w:szCs w:val="28"/>
        </w:rPr>
        <w:t>26.0</w:t>
      </w:r>
      <w:r>
        <w:rPr>
          <w:rFonts w:hint="eastAsia" w:ascii="仿宋" w:hAnsi="仿宋" w:eastAsia="仿宋"/>
          <w:b/>
          <w:bCs/>
          <w:sz w:val="28"/>
          <w:szCs w:val="28"/>
          <w:lang w:val="en-GB"/>
        </w:rPr>
        <w:t>万元，投标报价超过最高限价的视为无效报价。</w:t>
      </w:r>
    </w:p>
    <w:p>
      <w:pPr>
        <w:pStyle w:val="4"/>
        <w:rPr>
          <w:rFonts w:ascii="宋体" w:hAnsi="宋体" w:eastAsia="宋体"/>
          <w:lang w:val="en-GB"/>
        </w:rPr>
      </w:pPr>
      <w:r>
        <w:rPr>
          <w:rFonts w:hint="eastAsia" w:ascii="宋体" w:hAnsi="宋体" w:eastAsia="宋体"/>
          <w:lang w:val="en-GB"/>
        </w:rPr>
        <w:t>四、投标文件的递交</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1</w:t>
      </w:r>
      <w:r>
        <w:rPr>
          <w:rFonts w:hint="eastAsia" w:ascii="仿宋" w:hAnsi="仿宋" w:eastAsia="仿宋"/>
          <w:sz w:val="28"/>
          <w:szCs w:val="28"/>
        </w:rPr>
        <w:t>.</w:t>
      </w:r>
      <w:r>
        <w:rPr>
          <w:rFonts w:hint="eastAsia" w:ascii="仿宋" w:hAnsi="仿宋" w:eastAsia="仿宋"/>
          <w:sz w:val="28"/>
          <w:szCs w:val="28"/>
          <w:lang w:val="en-GB"/>
        </w:rPr>
        <w:t>招标方于开标地点在投标截止时间前半小时内接受标书。</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2</w:t>
      </w:r>
      <w:r>
        <w:rPr>
          <w:rFonts w:hint="eastAsia" w:ascii="仿宋" w:hAnsi="仿宋" w:eastAsia="仿宋"/>
          <w:sz w:val="28"/>
          <w:szCs w:val="28"/>
        </w:rPr>
        <w:t>.</w:t>
      </w:r>
      <w:r>
        <w:rPr>
          <w:rFonts w:hint="eastAsia" w:ascii="仿宋" w:hAnsi="仿宋" w:eastAsia="仿宋"/>
          <w:sz w:val="28"/>
          <w:szCs w:val="28"/>
          <w:lang w:val="en-GB"/>
        </w:rPr>
        <w:t>投标方递交投标文件的方式为专人当面递交的方式。</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3</w:t>
      </w:r>
      <w:r>
        <w:rPr>
          <w:rFonts w:hint="eastAsia" w:ascii="仿宋" w:hAnsi="仿宋" w:eastAsia="仿宋"/>
          <w:sz w:val="28"/>
          <w:szCs w:val="28"/>
        </w:rPr>
        <w:t>.</w:t>
      </w:r>
      <w:r>
        <w:rPr>
          <w:rFonts w:hint="eastAsia" w:ascii="仿宋" w:hAnsi="仿宋" w:eastAsia="仿宋"/>
          <w:sz w:val="28"/>
          <w:szCs w:val="28"/>
          <w:lang w:val="en-GB"/>
        </w:rPr>
        <w:t>招标方将拒绝接收递交时间、密封情况等不符合要求的投标文件。</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4</w:t>
      </w:r>
      <w:r>
        <w:rPr>
          <w:rFonts w:hint="eastAsia" w:ascii="仿宋" w:hAnsi="仿宋" w:eastAsia="仿宋"/>
          <w:sz w:val="28"/>
          <w:szCs w:val="28"/>
        </w:rPr>
        <w:t>.</w:t>
      </w:r>
      <w:r>
        <w:rPr>
          <w:rFonts w:hint="eastAsia" w:ascii="仿宋" w:hAnsi="仿宋" w:eastAsia="仿宋"/>
          <w:sz w:val="28"/>
          <w:szCs w:val="28"/>
          <w:lang w:val="en-GB"/>
        </w:rPr>
        <w:t>投标文件填写字迹必须清楚、工整，对不同文字文本投标文件的解释发生异议的，以中文文本为准。</w:t>
      </w:r>
    </w:p>
    <w:p>
      <w:pPr>
        <w:pStyle w:val="4"/>
        <w:rPr>
          <w:rFonts w:ascii="宋体" w:hAnsi="宋体" w:eastAsia="宋体"/>
          <w:b w:val="0"/>
        </w:rPr>
      </w:pPr>
      <w:r>
        <w:rPr>
          <w:rFonts w:hint="eastAsia" w:ascii="宋体" w:hAnsi="宋体" w:eastAsia="宋体"/>
          <w:lang w:val="en-GB"/>
        </w:rPr>
        <w:t>五、无效投标的情形</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发生下列情况之一的投标文件被视为无效：</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1</w:t>
      </w:r>
      <w:r>
        <w:rPr>
          <w:rFonts w:hint="eastAsia" w:ascii="仿宋" w:hAnsi="仿宋" w:eastAsia="仿宋"/>
          <w:sz w:val="28"/>
          <w:szCs w:val="28"/>
        </w:rPr>
        <w:t>.</w:t>
      </w:r>
      <w:r>
        <w:rPr>
          <w:rFonts w:hint="eastAsia" w:ascii="仿宋" w:hAnsi="仿宋" w:eastAsia="仿宋"/>
          <w:sz w:val="28"/>
          <w:szCs w:val="28"/>
          <w:lang w:val="en-GB"/>
        </w:rPr>
        <w:t>投标报价超出项目最高限价的；</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2</w:t>
      </w:r>
      <w:r>
        <w:rPr>
          <w:rFonts w:hint="eastAsia" w:ascii="仿宋" w:hAnsi="仿宋" w:eastAsia="仿宋"/>
          <w:sz w:val="28"/>
          <w:szCs w:val="28"/>
        </w:rPr>
        <w:t>.</w:t>
      </w:r>
      <w:r>
        <w:rPr>
          <w:rFonts w:hint="eastAsia" w:ascii="仿宋" w:hAnsi="仿宋" w:eastAsia="仿宋"/>
          <w:sz w:val="28"/>
          <w:szCs w:val="28"/>
          <w:lang w:val="en-GB"/>
        </w:rPr>
        <w:t>由于包装不妥，在送交途中严重破损或失散的投标文件；</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3</w:t>
      </w:r>
      <w:r>
        <w:rPr>
          <w:rFonts w:hint="eastAsia" w:ascii="仿宋" w:hAnsi="仿宋" w:eastAsia="仿宋"/>
          <w:sz w:val="28"/>
          <w:szCs w:val="28"/>
        </w:rPr>
        <w:t>.</w:t>
      </w:r>
      <w:r>
        <w:rPr>
          <w:rFonts w:hint="eastAsia" w:ascii="仿宋" w:hAnsi="仿宋" w:eastAsia="仿宋"/>
          <w:sz w:val="28"/>
          <w:szCs w:val="28"/>
          <w:lang w:val="en-GB"/>
        </w:rPr>
        <w:t>未按照招标文件要求盖章、签署姓名；未装订或未按照招标文件规定的数量进行制作、未按照招标文件规定要求密封；投标承诺函、法定代表人授权书等有涂改的；</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4</w:t>
      </w:r>
      <w:r>
        <w:rPr>
          <w:rFonts w:hint="eastAsia" w:ascii="仿宋" w:hAnsi="仿宋" w:eastAsia="仿宋"/>
          <w:sz w:val="28"/>
          <w:szCs w:val="28"/>
        </w:rPr>
        <w:t>.</w:t>
      </w:r>
      <w:r>
        <w:rPr>
          <w:rFonts w:hint="eastAsia" w:ascii="仿宋" w:hAnsi="仿宋" w:eastAsia="仿宋"/>
          <w:sz w:val="28"/>
          <w:szCs w:val="28"/>
          <w:lang w:val="en-GB"/>
        </w:rPr>
        <w:t>未能提供合格的资格文件；</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5</w:t>
      </w:r>
      <w:r>
        <w:rPr>
          <w:rFonts w:hint="eastAsia" w:ascii="仿宋" w:hAnsi="仿宋" w:eastAsia="仿宋"/>
          <w:sz w:val="28"/>
          <w:szCs w:val="28"/>
        </w:rPr>
        <w:t>.</w:t>
      </w:r>
      <w:r>
        <w:rPr>
          <w:rFonts w:hint="eastAsia" w:ascii="仿宋" w:hAnsi="仿宋" w:eastAsia="仿宋"/>
          <w:sz w:val="28"/>
          <w:szCs w:val="28"/>
          <w:lang w:val="en-GB"/>
        </w:rPr>
        <w:t>投标人未对招标文件内所要采购的全部内容进行报价的；</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6</w:t>
      </w:r>
      <w:r>
        <w:rPr>
          <w:rFonts w:hint="eastAsia" w:ascii="仿宋" w:hAnsi="仿宋" w:eastAsia="仿宋"/>
          <w:sz w:val="28"/>
          <w:szCs w:val="28"/>
        </w:rPr>
        <w:t>.</w:t>
      </w:r>
      <w:r>
        <w:rPr>
          <w:rFonts w:hint="eastAsia" w:ascii="仿宋" w:hAnsi="仿宋" w:eastAsia="仿宋"/>
          <w:sz w:val="28"/>
          <w:szCs w:val="28"/>
          <w:lang w:val="en-GB"/>
        </w:rPr>
        <w:t>与招标文件有重大偏离的或未能实质性响应技术商务要求的；</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7</w:t>
      </w:r>
      <w:r>
        <w:rPr>
          <w:rFonts w:hint="eastAsia" w:ascii="仿宋" w:hAnsi="仿宋" w:eastAsia="仿宋"/>
          <w:sz w:val="28"/>
          <w:szCs w:val="28"/>
        </w:rPr>
        <w:t>.</w:t>
      </w:r>
      <w:r>
        <w:rPr>
          <w:rFonts w:hint="eastAsia" w:ascii="仿宋" w:hAnsi="仿宋" w:eastAsia="仿宋"/>
          <w:sz w:val="28"/>
          <w:szCs w:val="28"/>
          <w:lang w:val="en-GB"/>
        </w:rPr>
        <w:t>投标供应商在投标活动中提供任何虚假材料或从事其他违法活动的；</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8</w:t>
      </w:r>
      <w:r>
        <w:rPr>
          <w:rFonts w:hint="eastAsia" w:ascii="仿宋" w:hAnsi="仿宋" w:eastAsia="仿宋"/>
          <w:sz w:val="28"/>
          <w:szCs w:val="28"/>
        </w:rPr>
        <w:t>.</w:t>
      </w:r>
      <w:r>
        <w:rPr>
          <w:rFonts w:hint="eastAsia" w:ascii="仿宋" w:hAnsi="仿宋" w:eastAsia="仿宋"/>
          <w:sz w:val="28"/>
          <w:szCs w:val="28"/>
          <w:lang w:val="en-GB"/>
        </w:rPr>
        <w:t>评标委员会认为其他不合理情况的；</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9</w:t>
      </w:r>
      <w:r>
        <w:rPr>
          <w:rFonts w:hint="eastAsia" w:ascii="仿宋" w:hAnsi="仿宋" w:eastAsia="仿宋"/>
          <w:sz w:val="28"/>
          <w:szCs w:val="28"/>
        </w:rPr>
        <w:t>.</w:t>
      </w:r>
      <w:r>
        <w:rPr>
          <w:rFonts w:hint="eastAsia" w:ascii="仿宋" w:hAnsi="仿宋" w:eastAsia="仿宋"/>
          <w:sz w:val="28"/>
          <w:szCs w:val="28"/>
          <w:lang w:val="en-GB"/>
        </w:rPr>
        <w:t>不符合法律、法规和本招标文件规定的其他实质性要求的；</w:t>
      </w:r>
    </w:p>
    <w:p>
      <w:pPr>
        <w:pStyle w:val="7"/>
        <w:jc w:val="both"/>
        <w:rPr>
          <w:rFonts w:ascii="宋体" w:hAnsi="宋体"/>
          <w:b w:val="0"/>
          <w:bCs w:val="0"/>
          <w:sz w:val="21"/>
          <w:szCs w:val="21"/>
        </w:rPr>
      </w:pPr>
    </w:p>
    <w:p>
      <w:pPr>
        <w:pStyle w:val="6"/>
        <w:jc w:val="center"/>
        <w:rPr>
          <w:rFonts w:ascii="宋体" w:hAnsi="宋体" w:eastAsia="宋体"/>
          <w:sz w:val="28"/>
          <w:szCs w:val="28"/>
          <w:lang w:val="en-GB"/>
        </w:rPr>
      </w:pPr>
      <w:r>
        <w:rPr>
          <w:rFonts w:hint="eastAsia" w:ascii="宋体" w:hAnsi="宋体" w:eastAsia="宋体"/>
          <w:sz w:val="28"/>
          <w:szCs w:val="28"/>
          <w:lang w:val="en-GB"/>
        </w:rPr>
        <w:t>六、变更为其他方式采购的情形</w:t>
      </w:r>
    </w:p>
    <w:p>
      <w:pPr>
        <w:spacing w:line="500" w:lineRule="exact"/>
        <w:ind w:firstLine="560"/>
        <w:rPr>
          <w:rFonts w:ascii="仿宋" w:hAnsi="仿宋" w:eastAsia="仿宋"/>
          <w:sz w:val="28"/>
          <w:szCs w:val="28"/>
          <w:lang w:val="en-GB"/>
        </w:rPr>
      </w:pPr>
      <w:r>
        <w:rPr>
          <w:rFonts w:hint="eastAsia" w:ascii="仿宋" w:hAnsi="仿宋" w:eastAsia="仿宋"/>
          <w:sz w:val="28"/>
          <w:szCs w:val="28"/>
          <w:lang w:val="en-GB"/>
        </w:rPr>
        <w:t>投标截止时间出现如下情形的：参加投标的供应商不足3家的，或者评标中出现符合专业条件的供应商或对招标文件作实质响应的投标人不足3家的，除采购任务取消外，招标人应报告监督部门，视情采取其他方式采购。本次招标文件中对供应商资质、技术等要求，将作为其他方式采购的基本要求和依据。原已经参加投标并符合要求的供应商，根据自愿原则，参加其他方式采购。</w:t>
      </w:r>
    </w:p>
    <w:p>
      <w:pPr>
        <w:spacing w:line="360" w:lineRule="auto"/>
        <w:jc w:val="center"/>
        <w:rPr>
          <w:rFonts w:ascii="宋体" w:hAnsi="宋体"/>
          <w:b/>
          <w:bCs/>
          <w:sz w:val="44"/>
          <w:szCs w:val="44"/>
        </w:rPr>
      </w:pPr>
    </w:p>
    <w:p>
      <w:pPr>
        <w:spacing w:line="360" w:lineRule="auto"/>
        <w:jc w:val="center"/>
        <w:rPr>
          <w:rFonts w:ascii="宋体" w:hAnsi="宋体"/>
          <w:b/>
          <w:bCs/>
          <w:sz w:val="44"/>
          <w:szCs w:val="44"/>
        </w:rPr>
      </w:pPr>
    </w:p>
    <w:p>
      <w:pPr>
        <w:spacing w:line="360" w:lineRule="auto"/>
        <w:jc w:val="center"/>
        <w:rPr>
          <w:rFonts w:ascii="宋体" w:hAnsi="宋体"/>
          <w:b/>
          <w:bCs/>
          <w:sz w:val="44"/>
          <w:szCs w:val="44"/>
        </w:rPr>
      </w:pPr>
    </w:p>
    <w:p>
      <w:pPr>
        <w:spacing w:line="360" w:lineRule="auto"/>
        <w:jc w:val="center"/>
        <w:rPr>
          <w:rFonts w:ascii="宋体" w:hAnsi="宋体"/>
          <w:b/>
          <w:bCs/>
          <w:sz w:val="44"/>
          <w:szCs w:val="44"/>
        </w:rPr>
      </w:pPr>
    </w:p>
    <w:p>
      <w:pPr>
        <w:spacing w:line="360" w:lineRule="auto"/>
        <w:jc w:val="center"/>
        <w:rPr>
          <w:rFonts w:ascii="宋体" w:hAnsi="宋体"/>
          <w:b/>
          <w:bCs/>
          <w:sz w:val="44"/>
          <w:szCs w:val="44"/>
        </w:rPr>
      </w:pPr>
    </w:p>
    <w:p>
      <w:pPr>
        <w:spacing w:line="360" w:lineRule="auto"/>
        <w:jc w:val="center"/>
        <w:rPr>
          <w:rFonts w:ascii="宋体" w:hAnsi="宋体"/>
          <w:b/>
          <w:bCs/>
          <w:sz w:val="44"/>
          <w:szCs w:val="44"/>
        </w:rPr>
      </w:pPr>
    </w:p>
    <w:p>
      <w:pPr>
        <w:spacing w:line="360" w:lineRule="auto"/>
        <w:jc w:val="center"/>
        <w:rPr>
          <w:rFonts w:ascii="宋体" w:hAnsi="宋体"/>
          <w:b/>
          <w:bCs/>
          <w:sz w:val="44"/>
          <w:szCs w:val="44"/>
        </w:rPr>
      </w:pPr>
    </w:p>
    <w:p>
      <w:pPr>
        <w:spacing w:line="360" w:lineRule="auto"/>
        <w:jc w:val="center"/>
        <w:rPr>
          <w:rFonts w:ascii="宋体" w:hAnsi="宋体"/>
          <w:b/>
          <w:bCs/>
          <w:sz w:val="44"/>
          <w:szCs w:val="44"/>
        </w:rPr>
      </w:pPr>
    </w:p>
    <w:p>
      <w:pPr>
        <w:pStyle w:val="39"/>
        <w:rPr>
          <w:b/>
          <w:bCs/>
          <w:sz w:val="44"/>
          <w:szCs w:val="44"/>
        </w:rPr>
      </w:pPr>
    </w:p>
    <w:p>
      <w:pPr>
        <w:pStyle w:val="39"/>
        <w:rPr>
          <w:b/>
          <w:bCs/>
          <w:sz w:val="44"/>
          <w:szCs w:val="44"/>
        </w:rPr>
      </w:pPr>
    </w:p>
    <w:p>
      <w:pPr>
        <w:pStyle w:val="39"/>
        <w:rPr>
          <w:b/>
          <w:bCs/>
          <w:sz w:val="44"/>
          <w:szCs w:val="44"/>
        </w:rPr>
      </w:pPr>
    </w:p>
    <w:p>
      <w:pPr>
        <w:pStyle w:val="39"/>
        <w:rPr>
          <w:b/>
          <w:bCs/>
          <w:sz w:val="44"/>
          <w:szCs w:val="44"/>
        </w:rPr>
      </w:pPr>
    </w:p>
    <w:p>
      <w:pPr>
        <w:pStyle w:val="39"/>
        <w:rPr>
          <w:b/>
          <w:bCs/>
          <w:sz w:val="44"/>
          <w:szCs w:val="44"/>
        </w:rPr>
      </w:pPr>
    </w:p>
    <w:p>
      <w:pPr>
        <w:spacing w:line="360" w:lineRule="auto"/>
        <w:jc w:val="center"/>
        <w:rPr>
          <w:rFonts w:ascii="宋体" w:hAnsi="宋体"/>
          <w:b/>
          <w:bCs/>
          <w:sz w:val="44"/>
          <w:szCs w:val="44"/>
        </w:rPr>
      </w:pPr>
    </w:p>
    <w:p>
      <w:pPr>
        <w:spacing w:line="360" w:lineRule="auto"/>
        <w:jc w:val="center"/>
        <w:rPr>
          <w:rFonts w:ascii="宋体" w:hAnsi="宋体"/>
          <w:b/>
          <w:bCs/>
          <w:sz w:val="44"/>
          <w:szCs w:val="44"/>
        </w:rPr>
      </w:pPr>
    </w:p>
    <w:p>
      <w:pPr>
        <w:jc w:val="left"/>
        <w:rPr>
          <w:rFonts w:ascii="宋体" w:hAnsi="宋体"/>
          <w:b/>
          <w:bCs/>
          <w:sz w:val="44"/>
          <w:szCs w:val="44"/>
        </w:rPr>
      </w:pPr>
      <w:r>
        <w:rPr>
          <w:rFonts w:hint="eastAsia" w:ascii="宋体" w:hAnsi="宋体"/>
          <w:b/>
          <w:bCs/>
          <w:sz w:val="44"/>
          <w:szCs w:val="44"/>
        </w:rPr>
        <w:br w:type="page"/>
      </w:r>
    </w:p>
    <w:p>
      <w:pPr>
        <w:spacing w:line="360" w:lineRule="auto"/>
        <w:jc w:val="center"/>
        <w:rPr>
          <w:rFonts w:ascii="宋体" w:hAnsi="宋体"/>
          <w:b/>
          <w:bCs/>
          <w:sz w:val="44"/>
          <w:szCs w:val="44"/>
        </w:rPr>
      </w:pPr>
      <w:r>
        <w:rPr>
          <w:rFonts w:hint="eastAsia" w:ascii="宋体" w:hAnsi="宋体"/>
          <w:b/>
          <w:bCs/>
          <w:sz w:val="44"/>
          <w:szCs w:val="44"/>
        </w:rPr>
        <w:t xml:space="preserve">第四部分   </w:t>
      </w:r>
      <w:r>
        <w:rPr>
          <w:rFonts w:hint="eastAsia" w:ascii="宋体" w:hAnsi="宋体" w:cs="宋体"/>
          <w:bCs/>
          <w:sz w:val="32"/>
          <w:szCs w:val="32"/>
        </w:rPr>
        <w:t xml:space="preserve"> </w:t>
      </w:r>
      <w:r>
        <w:rPr>
          <w:rFonts w:hint="eastAsia" w:ascii="宋体" w:hAnsi="宋体"/>
          <w:b/>
          <w:bCs/>
          <w:sz w:val="44"/>
          <w:szCs w:val="44"/>
        </w:rPr>
        <w:t>评审标准和方法</w:t>
      </w:r>
    </w:p>
    <w:p>
      <w:pPr>
        <w:spacing w:line="500" w:lineRule="exact"/>
        <w:ind w:firstLine="560"/>
        <w:rPr>
          <w:rFonts w:ascii="仿宋" w:hAnsi="仿宋" w:eastAsia="仿宋"/>
          <w:sz w:val="28"/>
          <w:szCs w:val="28"/>
        </w:rPr>
      </w:pPr>
      <w:r>
        <w:rPr>
          <w:rFonts w:hint="eastAsia" w:ascii="仿宋" w:hAnsi="仿宋" w:eastAsia="仿宋"/>
          <w:sz w:val="28"/>
          <w:szCs w:val="28"/>
        </w:rPr>
        <w:t>1.评审方法为综合评分法，即磋商响应文件能够最大限度的满足磋商文件规定的各项综合评价标准且经评审得分最高的供应商为成交候选人的评标方法。</w:t>
      </w:r>
    </w:p>
    <w:p>
      <w:pPr>
        <w:spacing w:line="500" w:lineRule="exact"/>
        <w:ind w:firstLine="560"/>
        <w:rPr>
          <w:rFonts w:ascii="仿宋" w:hAnsi="仿宋" w:eastAsia="仿宋"/>
          <w:sz w:val="28"/>
          <w:szCs w:val="28"/>
        </w:rPr>
      </w:pPr>
      <w:r>
        <w:rPr>
          <w:rFonts w:hint="eastAsia" w:ascii="仿宋" w:hAnsi="仿宋" w:eastAsia="仿宋"/>
          <w:sz w:val="28"/>
          <w:szCs w:val="28"/>
        </w:rPr>
        <w:t>磋商小组将对通过资格及符合性审查的各合格磋商人根据磋商响应文件和磋商货物的性能、价格、商务等因素进行评分，总分为100分(不含清单内产品加分)。磋商人的最终得分是所有评委给其的评分(不含报价得分)的算术平均值加价格分和清单内产品加分，分数计算取至小数点后2位。</w:t>
      </w:r>
    </w:p>
    <w:p>
      <w:pPr>
        <w:spacing w:line="500" w:lineRule="exact"/>
        <w:ind w:firstLine="560"/>
        <w:rPr>
          <w:rFonts w:ascii="仿宋" w:hAnsi="仿宋" w:eastAsia="仿宋"/>
          <w:sz w:val="28"/>
          <w:szCs w:val="28"/>
        </w:rPr>
      </w:pPr>
      <w:r>
        <w:rPr>
          <w:rFonts w:hint="eastAsia" w:ascii="仿宋" w:hAnsi="仿宋" w:eastAsia="仿宋"/>
          <w:sz w:val="28"/>
          <w:szCs w:val="28"/>
        </w:rPr>
        <w:t>2.评审因素：价格、技术、商务、财务状况、信誉、业绩、服务、对磋商文件的响应程度，以及相应的比重或者权值等。</w:t>
      </w:r>
    </w:p>
    <w:p>
      <w:pPr>
        <w:spacing w:line="500" w:lineRule="exact"/>
        <w:ind w:firstLine="560"/>
        <w:rPr>
          <w:rFonts w:ascii="仿宋" w:hAnsi="仿宋" w:eastAsia="仿宋"/>
          <w:sz w:val="28"/>
          <w:szCs w:val="28"/>
        </w:rPr>
      </w:pPr>
      <w:r>
        <w:rPr>
          <w:rFonts w:hint="eastAsia" w:ascii="仿宋" w:hAnsi="仿宋" w:eastAsia="仿宋"/>
          <w:sz w:val="28"/>
          <w:szCs w:val="28"/>
        </w:rPr>
        <w:t>3.价格分应当采用低价优先法计算，即满足磋商文件要求且最后报价</w:t>
      </w:r>
      <w:r>
        <w:rPr>
          <w:rFonts w:hint="eastAsia" w:ascii="仿宋" w:hAnsi="仿宋" w:eastAsia="仿宋"/>
          <w:sz w:val="28"/>
          <w:szCs w:val="28"/>
          <w:lang w:eastAsia="zh-CN"/>
        </w:rPr>
        <w:t>（</w:t>
      </w:r>
      <w:r>
        <w:rPr>
          <w:rFonts w:hint="eastAsia" w:ascii="仿宋" w:hAnsi="仿宋" w:eastAsia="仿宋"/>
          <w:sz w:val="28"/>
          <w:szCs w:val="28"/>
          <w:lang w:val="en-US" w:eastAsia="zh-CN"/>
        </w:rPr>
        <w:t>磋商现场报价</w:t>
      </w:r>
      <w:r>
        <w:rPr>
          <w:rFonts w:hint="eastAsia" w:ascii="仿宋" w:hAnsi="仿宋" w:eastAsia="仿宋"/>
          <w:sz w:val="28"/>
          <w:szCs w:val="28"/>
          <w:lang w:eastAsia="zh-CN"/>
        </w:rPr>
        <w:t>）</w:t>
      </w:r>
      <w:r>
        <w:rPr>
          <w:rFonts w:hint="eastAsia" w:ascii="仿宋" w:hAnsi="仿宋" w:eastAsia="仿宋"/>
          <w:sz w:val="28"/>
          <w:szCs w:val="28"/>
        </w:rPr>
        <w:t>中最低报价为评审基准价，其价格分为满分。其他响应供应商的价格分统一按照下列公式计算：</w:t>
      </w:r>
    </w:p>
    <w:p>
      <w:pPr>
        <w:spacing w:line="500" w:lineRule="exact"/>
        <w:ind w:firstLine="560"/>
        <w:rPr>
          <w:rFonts w:ascii="仿宋" w:hAnsi="仿宋" w:eastAsia="仿宋"/>
          <w:sz w:val="28"/>
          <w:szCs w:val="28"/>
        </w:rPr>
      </w:pPr>
      <w:r>
        <w:rPr>
          <w:rFonts w:hint="eastAsia" w:ascii="仿宋" w:hAnsi="仿宋" w:eastAsia="仿宋"/>
          <w:sz w:val="28"/>
          <w:szCs w:val="28"/>
        </w:rPr>
        <w:t>最后报价得分=(评审基准价／最后报价)×价格分分值</w:t>
      </w:r>
    </w:p>
    <w:p>
      <w:pPr>
        <w:spacing w:line="500" w:lineRule="exact"/>
        <w:ind w:firstLine="560"/>
        <w:rPr>
          <w:rFonts w:ascii="仿宋" w:hAnsi="仿宋" w:eastAsia="仿宋"/>
          <w:sz w:val="28"/>
          <w:szCs w:val="28"/>
        </w:rPr>
      </w:pPr>
      <w:r>
        <w:rPr>
          <w:rFonts w:hint="eastAsia" w:ascii="仿宋" w:hAnsi="仿宋" w:eastAsia="仿宋"/>
          <w:sz w:val="28"/>
          <w:szCs w:val="28"/>
        </w:rPr>
        <w:t>磋商过程中，不得去掉报价中的最高报价和最低报价。因落实政府采购政策进行价格调整的，以调整后的价格计算评审基准价和最后报价。</w:t>
      </w:r>
    </w:p>
    <w:p>
      <w:pPr>
        <w:ind w:firstLine="560"/>
        <w:rPr>
          <w:rFonts w:ascii="仿宋" w:hAnsi="仿宋" w:eastAsia="仿宋"/>
          <w:sz w:val="28"/>
          <w:szCs w:val="28"/>
        </w:rPr>
      </w:pPr>
      <w:r>
        <w:rPr>
          <w:rFonts w:hint="eastAsia" w:ascii="仿宋" w:hAnsi="仿宋" w:eastAsia="仿宋"/>
          <w:sz w:val="28"/>
          <w:szCs w:val="28"/>
        </w:rPr>
        <w:t>4.评分表</w:t>
      </w: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3"/>
        <w:gridCol w:w="1202"/>
        <w:gridCol w:w="888"/>
        <w:gridCol w:w="5946"/>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73" w:type="dxa"/>
            <w:vAlign w:val="center"/>
          </w:tcPr>
          <w:p>
            <w:pPr>
              <w:jc w:val="center"/>
              <w:rPr>
                <w:rFonts w:ascii="仿宋" w:hAnsi="仿宋" w:eastAsia="仿宋"/>
                <w:sz w:val="24"/>
              </w:rPr>
            </w:pPr>
            <w:r>
              <w:rPr>
                <w:rFonts w:hint="eastAsia" w:ascii="仿宋" w:hAnsi="仿宋" w:eastAsia="仿宋"/>
                <w:sz w:val="24"/>
              </w:rPr>
              <w:t>序号</w:t>
            </w:r>
          </w:p>
        </w:tc>
        <w:tc>
          <w:tcPr>
            <w:tcW w:w="1202" w:type="dxa"/>
            <w:vAlign w:val="center"/>
          </w:tcPr>
          <w:p>
            <w:pPr>
              <w:jc w:val="center"/>
              <w:rPr>
                <w:rFonts w:ascii="仿宋" w:hAnsi="仿宋" w:eastAsia="仿宋"/>
                <w:sz w:val="24"/>
              </w:rPr>
            </w:pPr>
            <w:r>
              <w:rPr>
                <w:rFonts w:hint="eastAsia" w:ascii="仿宋" w:hAnsi="仿宋" w:eastAsia="仿宋"/>
                <w:sz w:val="24"/>
              </w:rPr>
              <w:t>评审因素</w:t>
            </w:r>
          </w:p>
        </w:tc>
        <w:tc>
          <w:tcPr>
            <w:tcW w:w="888" w:type="dxa"/>
            <w:vAlign w:val="center"/>
          </w:tcPr>
          <w:p>
            <w:pPr>
              <w:jc w:val="center"/>
              <w:rPr>
                <w:rFonts w:ascii="仿宋" w:hAnsi="仿宋" w:eastAsia="仿宋"/>
                <w:sz w:val="24"/>
              </w:rPr>
            </w:pPr>
            <w:r>
              <w:rPr>
                <w:rFonts w:hint="eastAsia" w:ascii="仿宋" w:hAnsi="仿宋" w:eastAsia="仿宋"/>
                <w:sz w:val="24"/>
              </w:rPr>
              <w:t>分值</w:t>
            </w:r>
          </w:p>
        </w:tc>
        <w:tc>
          <w:tcPr>
            <w:tcW w:w="5946" w:type="dxa"/>
            <w:vAlign w:val="center"/>
          </w:tcPr>
          <w:p>
            <w:pPr>
              <w:jc w:val="center"/>
              <w:rPr>
                <w:rFonts w:ascii="仿宋" w:hAnsi="仿宋" w:eastAsia="仿宋"/>
                <w:sz w:val="24"/>
              </w:rPr>
            </w:pPr>
            <w:r>
              <w:rPr>
                <w:rFonts w:hint="eastAsia" w:ascii="仿宋" w:hAnsi="仿宋" w:eastAsia="仿宋"/>
                <w:sz w:val="24"/>
              </w:rPr>
              <w:t>评审要求或标准</w:t>
            </w:r>
          </w:p>
        </w:tc>
        <w:tc>
          <w:tcPr>
            <w:tcW w:w="1045" w:type="dxa"/>
            <w:vAlign w:val="center"/>
          </w:tcPr>
          <w:p>
            <w:pPr>
              <w:jc w:val="center"/>
              <w:rPr>
                <w:rFonts w:ascii="仿宋" w:hAnsi="仿宋" w:eastAsia="仿宋"/>
                <w:sz w:val="24"/>
              </w:rPr>
            </w:pPr>
            <w:r>
              <w:rPr>
                <w:rFonts w:hint="eastAsia" w:ascii="仿宋" w:hAnsi="仿宋" w:eastAsia="仿宋"/>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73" w:type="dxa"/>
            <w:vAlign w:val="center"/>
          </w:tcPr>
          <w:p>
            <w:pPr>
              <w:jc w:val="center"/>
              <w:rPr>
                <w:rFonts w:ascii="仿宋" w:hAnsi="仿宋" w:eastAsia="仿宋"/>
                <w:sz w:val="24"/>
              </w:rPr>
            </w:pPr>
            <w:r>
              <w:rPr>
                <w:rFonts w:hint="eastAsia" w:ascii="仿宋" w:hAnsi="仿宋" w:eastAsia="仿宋"/>
                <w:sz w:val="24"/>
              </w:rPr>
              <w:t>1</w:t>
            </w:r>
          </w:p>
        </w:tc>
        <w:tc>
          <w:tcPr>
            <w:tcW w:w="1202" w:type="dxa"/>
            <w:vAlign w:val="center"/>
          </w:tcPr>
          <w:p>
            <w:pPr>
              <w:jc w:val="center"/>
              <w:rPr>
                <w:rFonts w:ascii="仿宋" w:hAnsi="仿宋" w:eastAsia="仿宋"/>
                <w:sz w:val="24"/>
              </w:rPr>
            </w:pPr>
            <w:r>
              <w:rPr>
                <w:rFonts w:hint="eastAsia" w:ascii="仿宋" w:hAnsi="仿宋" w:eastAsia="仿宋"/>
                <w:sz w:val="24"/>
              </w:rPr>
              <w:t>性能参数</w:t>
            </w:r>
          </w:p>
        </w:tc>
        <w:tc>
          <w:tcPr>
            <w:tcW w:w="888" w:type="dxa"/>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5946" w:type="dxa"/>
            <w:vAlign w:val="center"/>
          </w:tcPr>
          <w:p>
            <w:pPr>
              <w:spacing w:line="360" w:lineRule="exact"/>
              <w:ind w:firstLine="480"/>
              <w:rPr>
                <w:rFonts w:ascii="仿宋" w:hAnsi="仿宋" w:eastAsia="仿宋"/>
                <w:sz w:val="24"/>
              </w:rPr>
            </w:pPr>
            <w:r>
              <w:rPr>
                <w:rFonts w:hint="eastAsia" w:ascii="仿宋" w:hAnsi="仿宋" w:eastAsia="仿宋" w:cs="仿宋"/>
                <w:sz w:val="24"/>
              </w:rPr>
              <w:t>依据制造商公开发布的产品技术说明书、官网截图或者国家认可的第三方检测机构出具的检测报告等证明材料对产品技术性能参数进行评审。如响应供应商填写响应性与佐证材料参数不一致（例如：技术部分正负偏离表自填响应或正偏离，证明材料等参数显示负偏离或不响应），该项不得分。具体评分标准如下：</w:t>
            </w:r>
          </w:p>
          <w:p>
            <w:pPr>
              <w:spacing w:line="360" w:lineRule="exact"/>
              <w:rPr>
                <w:rFonts w:ascii="仿宋" w:hAnsi="仿宋" w:eastAsia="仿宋"/>
                <w:sz w:val="24"/>
              </w:rPr>
            </w:pPr>
            <w:r>
              <w:rPr>
                <w:rFonts w:hint="eastAsia" w:ascii="仿宋" w:hAnsi="仿宋" w:eastAsia="仿宋"/>
                <w:b/>
                <w:bCs/>
                <w:sz w:val="24"/>
              </w:rPr>
              <w:t>1.四要素温度：</w:t>
            </w:r>
            <w:r>
              <w:rPr>
                <w:rFonts w:hint="eastAsia" w:ascii="仿宋" w:hAnsi="仿宋" w:eastAsia="仿宋"/>
                <w:sz w:val="24"/>
              </w:rPr>
              <w:t>响应产品性能达到最大允许误差：</w:t>
            </w:r>
            <w:r>
              <w:rPr>
                <w:rFonts w:hint="eastAsia" w:ascii="仿宋" w:hAnsi="仿宋" w:eastAsia="仿宋"/>
                <w:sz w:val="24"/>
                <w:highlight w:val="none"/>
              </w:rPr>
              <w:t>±0.1℃</w:t>
            </w:r>
            <w:r>
              <w:rPr>
                <w:rFonts w:hint="eastAsia" w:ascii="仿宋" w:hAnsi="仿宋" w:eastAsia="仿宋"/>
                <w:sz w:val="24"/>
              </w:rPr>
              <w:t>，得</w:t>
            </w:r>
            <w:r>
              <w:rPr>
                <w:rFonts w:hint="eastAsia" w:ascii="仿宋" w:hAnsi="仿宋" w:eastAsia="仿宋"/>
                <w:sz w:val="24"/>
                <w:lang w:val="en-US" w:eastAsia="zh-CN"/>
              </w:rPr>
              <w:t>5</w:t>
            </w:r>
            <w:r>
              <w:rPr>
                <w:rFonts w:hint="eastAsia" w:ascii="仿宋" w:hAnsi="仿宋" w:eastAsia="仿宋"/>
                <w:sz w:val="24"/>
              </w:rPr>
              <w:t>分。</w:t>
            </w:r>
          </w:p>
          <w:p>
            <w:pPr>
              <w:spacing w:line="360" w:lineRule="exact"/>
              <w:rPr>
                <w:rFonts w:ascii="仿宋" w:hAnsi="仿宋" w:eastAsia="仿宋"/>
                <w:sz w:val="24"/>
              </w:rPr>
            </w:pPr>
            <w:r>
              <w:rPr>
                <w:rFonts w:hint="eastAsia" w:ascii="仿宋" w:hAnsi="仿宋" w:eastAsia="仿宋"/>
                <w:b/>
                <w:bCs/>
                <w:sz w:val="24"/>
              </w:rPr>
              <w:t>2.四要素风向：</w:t>
            </w:r>
            <w:r>
              <w:rPr>
                <w:rFonts w:hint="eastAsia" w:ascii="仿宋" w:hAnsi="仿宋" w:eastAsia="仿宋"/>
                <w:sz w:val="24"/>
              </w:rPr>
              <w:t>响应产品性能达到最大允许误差：±3°，得</w:t>
            </w:r>
            <w:r>
              <w:rPr>
                <w:rFonts w:hint="eastAsia" w:ascii="仿宋" w:hAnsi="仿宋" w:eastAsia="仿宋"/>
                <w:sz w:val="24"/>
                <w:lang w:val="en-US" w:eastAsia="zh-CN"/>
              </w:rPr>
              <w:t>5</w:t>
            </w:r>
            <w:r>
              <w:rPr>
                <w:rFonts w:hint="eastAsia" w:ascii="仿宋" w:hAnsi="仿宋" w:eastAsia="仿宋"/>
                <w:sz w:val="24"/>
              </w:rPr>
              <w:t>分。</w:t>
            </w:r>
          </w:p>
          <w:p>
            <w:pPr>
              <w:spacing w:line="360" w:lineRule="exact"/>
              <w:rPr>
                <w:rFonts w:ascii="仿宋" w:hAnsi="仿宋" w:eastAsia="仿宋"/>
                <w:sz w:val="24"/>
              </w:rPr>
            </w:pPr>
            <w:r>
              <w:rPr>
                <w:rFonts w:hint="eastAsia" w:ascii="仿宋" w:hAnsi="仿宋" w:eastAsia="仿宋"/>
                <w:b/>
                <w:bCs/>
                <w:sz w:val="24"/>
              </w:rPr>
              <w:t>3.四要素风速：</w:t>
            </w:r>
            <w:r>
              <w:rPr>
                <w:rFonts w:hint="eastAsia" w:ascii="仿宋" w:hAnsi="仿宋" w:eastAsia="仿宋"/>
                <w:sz w:val="24"/>
              </w:rPr>
              <w:t>响应产品性能达到最大允许误差：±（0.3+0.03V）m/s，得</w:t>
            </w:r>
            <w:r>
              <w:rPr>
                <w:rFonts w:hint="eastAsia" w:ascii="仿宋" w:hAnsi="仿宋" w:eastAsia="仿宋"/>
                <w:sz w:val="24"/>
                <w:lang w:val="en-US" w:eastAsia="zh-CN"/>
              </w:rPr>
              <w:t>5</w:t>
            </w:r>
            <w:r>
              <w:rPr>
                <w:rFonts w:hint="eastAsia" w:ascii="仿宋" w:hAnsi="仿宋" w:eastAsia="仿宋"/>
                <w:sz w:val="24"/>
              </w:rPr>
              <w:t>分。</w:t>
            </w:r>
          </w:p>
          <w:p>
            <w:pPr>
              <w:spacing w:line="360" w:lineRule="exact"/>
              <w:rPr>
                <w:rFonts w:ascii="仿宋" w:hAnsi="仿宋" w:eastAsia="仿宋"/>
                <w:sz w:val="24"/>
              </w:rPr>
            </w:pPr>
            <w:r>
              <w:rPr>
                <w:rFonts w:hint="eastAsia" w:ascii="仿宋" w:hAnsi="仿宋" w:eastAsia="仿宋"/>
                <w:b/>
                <w:bCs/>
                <w:sz w:val="24"/>
              </w:rPr>
              <w:t>4.四要素降水量：</w:t>
            </w:r>
            <w:r>
              <w:rPr>
                <w:rFonts w:hint="eastAsia" w:ascii="仿宋" w:hAnsi="仿宋" w:eastAsia="仿宋"/>
                <w:sz w:val="24"/>
              </w:rPr>
              <w:t>响应产品性能达到最大允许误差：±0.3mm（≤10mm）±3%（＞10mm），得</w:t>
            </w:r>
            <w:r>
              <w:rPr>
                <w:rFonts w:hint="eastAsia" w:ascii="仿宋" w:hAnsi="仿宋" w:eastAsia="仿宋"/>
                <w:sz w:val="24"/>
                <w:lang w:val="en-US" w:eastAsia="zh-CN"/>
              </w:rPr>
              <w:t>5</w:t>
            </w:r>
            <w:r>
              <w:rPr>
                <w:rFonts w:hint="eastAsia" w:ascii="仿宋" w:hAnsi="仿宋" w:eastAsia="仿宋"/>
                <w:sz w:val="24"/>
              </w:rPr>
              <w:t>分。</w:t>
            </w:r>
          </w:p>
          <w:p>
            <w:pPr>
              <w:pStyle w:val="70"/>
              <w:spacing w:line="360" w:lineRule="exact"/>
              <w:jc w:val="both"/>
              <w:rPr>
                <w:rFonts w:ascii="仿宋" w:hAnsi="仿宋" w:eastAsia="仿宋"/>
                <w:sz w:val="24"/>
              </w:rPr>
            </w:pPr>
            <w:r>
              <w:rPr>
                <w:rFonts w:hint="eastAsia" w:ascii="仿宋" w:hAnsi="仿宋" w:eastAsia="仿宋" w:cs="仿宋"/>
                <w:b/>
                <w:bCs/>
                <w:sz w:val="24"/>
                <w:lang w:val="en-US" w:bidi="ar-SA"/>
              </w:rPr>
              <w:t>上述须提供证明文件加盖供应商公章，不提供不得分。</w:t>
            </w:r>
          </w:p>
        </w:tc>
        <w:tc>
          <w:tcPr>
            <w:tcW w:w="1045" w:type="dxa"/>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73" w:type="dxa"/>
            <w:vAlign w:val="center"/>
          </w:tcPr>
          <w:p>
            <w:pPr>
              <w:jc w:val="center"/>
              <w:rPr>
                <w:rFonts w:ascii="仿宋" w:hAnsi="仿宋" w:eastAsia="仿宋"/>
                <w:sz w:val="24"/>
              </w:rPr>
            </w:pPr>
            <w:r>
              <w:rPr>
                <w:rFonts w:hint="eastAsia" w:ascii="仿宋" w:hAnsi="仿宋" w:eastAsia="仿宋"/>
                <w:sz w:val="24"/>
              </w:rPr>
              <w:t>2</w:t>
            </w:r>
          </w:p>
        </w:tc>
        <w:tc>
          <w:tcPr>
            <w:tcW w:w="1202" w:type="dxa"/>
            <w:vAlign w:val="center"/>
          </w:tcPr>
          <w:p>
            <w:pPr>
              <w:spacing w:line="360" w:lineRule="exact"/>
              <w:jc w:val="center"/>
              <w:rPr>
                <w:rFonts w:ascii="仿宋" w:hAnsi="仿宋" w:eastAsia="仿宋"/>
                <w:sz w:val="24"/>
              </w:rPr>
            </w:pPr>
            <w:r>
              <w:rPr>
                <w:rFonts w:hint="eastAsia" w:ascii="仿宋" w:hAnsi="仿宋" w:eastAsia="仿宋"/>
                <w:sz w:val="24"/>
              </w:rPr>
              <w:t>兼容性</w:t>
            </w:r>
          </w:p>
        </w:tc>
        <w:tc>
          <w:tcPr>
            <w:tcW w:w="888" w:type="dxa"/>
            <w:vAlign w:val="center"/>
          </w:tcPr>
          <w:p>
            <w:pPr>
              <w:spacing w:line="360" w:lineRule="exact"/>
              <w:jc w:val="center"/>
              <w:rPr>
                <w:rFonts w:hint="eastAsia" w:ascii="仿宋" w:hAnsi="仿宋" w:eastAsia="仿宋"/>
                <w:sz w:val="24"/>
                <w:lang w:eastAsia="zh-CN"/>
              </w:rPr>
            </w:pPr>
            <w:r>
              <w:rPr>
                <w:rFonts w:hint="eastAsia" w:ascii="宋体" w:hAnsi="宋体" w:eastAsia="仿宋" w:cs="仿宋"/>
                <w:sz w:val="24"/>
                <w:lang w:val="en-US" w:eastAsia="zh-CN"/>
              </w:rPr>
              <w:t>8</w:t>
            </w:r>
          </w:p>
        </w:tc>
        <w:tc>
          <w:tcPr>
            <w:tcW w:w="5946" w:type="dxa"/>
            <w:vAlign w:val="center"/>
          </w:tcPr>
          <w:p>
            <w:pPr>
              <w:spacing w:line="360" w:lineRule="exact"/>
              <w:ind w:firstLine="480"/>
              <w:jc w:val="left"/>
              <w:rPr>
                <w:rFonts w:ascii="仿宋" w:hAnsi="仿宋" w:eastAsia="仿宋" w:cs="仿宋"/>
                <w:b/>
                <w:bCs/>
                <w:sz w:val="24"/>
              </w:rPr>
            </w:pPr>
            <w:r>
              <w:rPr>
                <w:rFonts w:hint="eastAsia" w:ascii="仿宋" w:hAnsi="仿宋" w:eastAsia="仿宋" w:cs="仿宋"/>
                <w:sz w:val="24"/>
              </w:rPr>
              <w:t>响应供应商承诺响应产品观测数据可接入现有江苏省局和市局自动站统一数据收集平台软件，得</w:t>
            </w:r>
            <w:r>
              <w:rPr>
                <w:rFonts w:hint="eastAsia" w:ascii="仿宋" w:hAnsi="仿宋" w:eastAsia="仿宋" w:cs="仿宋"/>
                <w:sz w:val="24"/>
                <w:lang w:val="en-US" w:eastAsia="zh-CN"/>
              </w:rPr>
              <w:t>8</w:t>
            </w:r>
            <w:r>
              <w:rPr>
                <w:rFonts w:hint="eastAsia" w:ascii="仿宋" w:hAnsi="仿宋" w:eastAsia="仿宋" w:cs="仿宋"/>
                <w:sz w:val="24"/>
              </w:rPr>
              <w:t>分。</w:t>
            </w:r>
            <w:r>
              <w:rPr>
                <w:rFonts w:hint="eastAsia" w:ascii="仿宋" w:hAnsi="仿宋" w:eastAsia="仿宋" w:cs="仿宋"/>
                <w:b/>
                <w:bCs/>
                <w:sz w:val="24"/>
              </w:rPr>
              <w:t>须提供所响应产品观测数据可接入承诺函加盖响应供应商公章。</w:t>
            </w:r>
          </w:p>
        </w:tc>
        <w:tc>
          <w:tcPr>
            <w:tcW w:w="1045" w:type="dxa"/>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73" w:type="dxa"/>
            <w:vAlign w:val="center"/>
          </w:tcPr>
          <w:p>
            <w:pPr>
              <w:jc w:val="center"/>
              <w:rPr>
                <w:rFonts w:ascii="仿宋" w:hAnsi="仿宋" w:eastAsia="仿宋"/>
                <w:sz w:val="24"/>
              </w:rPr>
            </w:pPr>
            <w:r>
              <w:rPr>
                <w:rFonts w:hint="eastAsia" w:ascii="仿宋" w:hAnsi="仿宋" w:eastAsia="仿宋"/>
                <w:sz w:val="24"/>
              </w:rPr>
              <w:t>3</w:t>
            </w:r>
          </w:p>
        </w:tc>
        <w:tc>
          <w:tcPr>
            <w:tcW w:w="1202" w:type="dxa"/>
            <w:vAlign w:val="center"/>
          </w:tcPr>
          <w:p>
            <w:pPr>
              <w:spacing w:line="360" w:lineRule="exact"/>
              <w:jc w:val="center"/>
              <w:rPr>
                <w:rFonts w:ascii="仿宋" w:hAnsi="仿宋" w:eastAsia="仿宋" w:cs="仿宋"/>
                <w:sz w:val="24"/>
              </w:rPr>
            </w:pPr>
            <w:r>
              <w:rPr>
                <w:rFonts w:hint="eastAsia" w:ascii="仿宋" w:hAnsi="仿宋" w:eastAsia="仿宋" w:cs="仿宋"/>
                <w:sz w:val="24"/>
              </w:rPr>
              <w:t>人员</w:t>
            </w:r>
          </w:p>
        </w:tc>
        <w:tc>
          <w:tcPr>
            <w:tcW w:w="888" w:type="dxa"/>
            <w:vAlign w:val="center"/>
          </w:tcPr>
          <w:p>
            <w:pPr>
              <w:spacing w:line="360" w:lineRule="exact"/>
              <w:jc w:val="center"/>
              <w:rPr>
                <w:rFonts w:ascii="仿宋" w:hAnsi="仿宋" w:eastAsia="仿宋" w:cs="仿宋"/>
                <w:sz w:val="24"/>
              </w:rPr>
            </w:pPr>
            <w:r>
              <w:rPr>
                <w:rFonts w:hint="eastAsia" w:ascii="仿宋" w:hAnsi="仿宋" w:eastAsia="仿宋" w:cs="仿宋"/>
                <w:sz w:val="24"/>
              </w:rPr>
              <w:t>5</w:t>
            </w:r>
          </w:p>
        </w:tc>
        <w:tc>
          <w:tcPr>
            <w:tcW w:w="5946" w:type="dxa"/>
            <w:vAlign w:val="center"/>
          </w:tcPr>
          <w:p>
            <w:pPr>
              <w:spacing w:line="360" w:lineRule="exact"/>
              <w:ind w:firstLine="482"/>
              <w:jc w:val="left"/>
              <w:rPr>
                <w:rFonts w:ascii="仿宋" w:hAnsi="仿宋" w:eastAsia="仿宋" w:cs="仿宋"/>
                <w:sz w:val="24"/>
              </w:rPr>
            </w:pPr>
            <w:r>
              <w:rPr>
                <w:rFonts w:hint="eastAsia" w:ascii="仿宋" w:hAnsi="仿宋" w:eastAsia="仿宋" w:cs="仿宋"/>
                <w:b/>
                <w:bCs/>
                <w:sz w:val="24"/>
              </w:rPr>
              <w:t>1.项目经理：</w:t>
            </w:r>
            <w:r>
              <w:rPr>
                <w:rFonts w:hint="eastAsia" w:ascii="仿宋" w:hAnsi="仿宋" w:eastAsia="仿宋" w:cs="仿宋"/>
                <w:sz w:val="24"/>
              </w:rPr>
              <w:t>具有中级及以上气象工程师职称证书的得3分，本项最高得3分。</w:t>
            </w:r>
          </w:p>
          <w:p>
            <w:pPr>
              <w:spacing w:line="360" w:lineRule="exact"/>
              <w:ind w:firstLine="482"/>
              <w:jc w:val="left"/>
              <w:rPr>
                <w:rFonts w:ascii="仿宋" w:hAnsi="仿宋" w:eastAsia="仿宋" w:cs="仿宋"/>
                <w:sz w:val="24"/>
              </w:rPr>
            </w:pPr>
            <w:r>
              <w:rPr>
                <w:rFonts w:hint="eastAsia" w:ascii="仿宋" w:hAnsi="仿宋" w:eastAsia="仿宋" w:cs="仿宋"/>
                <w:b/>
                <w:bCs/>
                <w:sz w:val="24"/>
              </w:rPr>
              <w:t>2.现场安装人员：</w:t>
            </w:r>
            <w:r>
              <w:rPr>
                <w:rFonts w:hint="eastAsia" w:ascii="仿宋" w:hAnsi="仿宋" w:eastAsia="仿宋" w:cs="仿宋"/>
                <w:sz w:val="24"/>
              </w:rPr>
              <w:t>具有高空作业《特种作业操作证》的得2分，本项最高得2分。</w:t>
            </w:r>
          </w:p>
          <w:p>
            <w:pPr>
              <w:spacing w:line="360" w:lineRule="exact"/>
              <w:ind w:firstLine="482"/>
              <w:jc w:val="left"/>
              <w:rPr>
                <w:rFonts w:ascii="仿宋" w:hAnsi="仿宋" w:eastAsia="仿宋" w:cs="仿宋"/>
                <w:sz w:val="24"/>
              </w:rPr>
            </w:pPr>
            <w:r>
              <w:rPr>
                <w:rFonts w:hint="eastAsia" w:ascii="仿宋" w:hAnsi="仿宋" w:eastAsia="仿宋" w:cs="仿宋"/>
                <w:b/>
                <w:bCs/>
                <w:sz w:val="24"/>
              </w:rPr>
              <w:t>上述人员须提供证书复印件及响应文件提交截止日前最近1个月响应供应商为其缴纳社保的证明；新成立企业距响应文件提交截止日期不足30日的，可不提供缴纳社保的证明（以新办企业营业执照发放日期为准）。不提供不得分。</w:t>
            </w:r>
          </w:p>
        </w:tc>
        <w:tc>
          <w:tcPr>
            <w:tcW w:w="1045" w:type="dxa"/>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73" w:type="dxa"/>
            <w:vAlign w:val="center"/>
          </w:tcPr>
          <w:p>
            <w:pPr>
              <w:jc w:val="center"/>
              <w:rPr>
                <w:rFonts w:ascii="仿宋" w:hAnsi="仿宋" w:eastAsia="仿宋"/>
                <w:sz w:val="24"/>
              </w:rPr>
            </w:pPr>
            <w:r>
              <w:rPr>
                <w:rFonts w:hint="eastAsia" w:ascii="仿宋" w:hAnsi="仿宋" w:eastAsia="仿宋"/>
                <w:sz w:val="24"/>
              </w:rPr>
              <w:t>4</w:t>
            </w:r>
          </w:p>
        </w:tc>
        <w:tc>
          <w:tcPr>
            <w:tcW w:w="1202" w:type="dxa"/>
            <w:vAlign w:val="center"/>
          </w:tcPr>
          <w:p>
            <w:pPr>
              <w:jc w:val="center"/>
              <w:rPr>
                <w:rFonts w:ascii="仿宋" w:hAnsi="仿宋" w:eastAsia="仿宋"/>
                <w:sz w:val="24"/>
              </w:rPr>
            </w:pPr>
            <w:r>
              <w:rPr>
                <w:rFonts w:hint="eastAsia" w:ascii="仿宋" w:hAnsi="仿宋" w:eastAsia="仿宋"/>
                <w:sz w:val="24"/>
              </w:rPr>
              <w:t>信誉及实力</w:t>
            </w:r>
          </w:p>
        </w:tc>
        <w:tc>
          <w:tcPr>
            <w:tcW w:w="888" w:type="dxa"/>
            <w:vAlign w:val="center"/>
          </w:tcPr>
          <w:p>
            <w:pPr>
              <w:jc w:val="center"/>
              <w:rPr>
                <w:rFonts w:ascii="仿宋" w:hAnsi="仿宋" w:eastAsia="仿宋"/>
                <w:sz w:val="24"/>
              </w:rPr>
            </w:pPr>
            <w:r>
              <w:rPr>
                <w:rFonts w:hint="eastAsia" w:ascii="仿宋" w:hAnsi="仿宋" w:eastAsia="仿宋"/>
                <w:sz w:val="24"/>
              </w:rPr>
              <w:t>8</w:t>
            </w:r>
          </w:p>
        </w:tc>
        <w:tc>
          <w:tcPr>
            <w:tcW w:w="5946" w:type="dxa"/>
            <w:vAlign w:val="center"/>
          </w:tcPr>
          <w:p>
            <w:pPr>
              <w:widowControl/>
              <w:spacing w:line="360" w:lineRule="exact"/>
              <w:ind w:firstLine="480"/>
              <w:jc w:val="left"/>
              <w:rPr>
                <w:rFonts w:ascii="仿宋" w:hAnsi="仿宋" w:eastAsia="仿宋" w:cs="仿宋"/>
                <w:b/>
                <w:bCs/>
                <w:sz w:val="24"/>
              </w:rPr>
            </w:pPr>
            <w:r>
              <w:rPr>
                <w:rFonts w:hint="eastAsia" w:ascii="仿宋" w:hAnsi="仿宋" w:eastAsia="仿宋" w:cs="仿宋"/>
                <w:sz w:val="24"/>
              </w:rPr>
              <w:t>1.响应供应商或响应产品制造商具有校准能力，提供《CNAS中国合格评定国家认可委员会实验室认可证书》得5分；</w:t>
            </w:r>
            <w:r>
              <w:rPr>
                <w:rFonts w:hint="eastAsia" w:ascii="仿宋" w:hAnsi="仿宋" w:eastAsia="仿宋" w:cs="仿宋"/>
                <w:b/>
                <w:bCs/>
                <w:sz w:val="24"/>
              </w:rPr>
              <w:t>须提供有效期内的证书复印件加盖单位公章，不提供不得分。</w:t>
            </w:r>
          </w:p>
          <w:p>
            <w:pPr>
              <w:widowControl/>
              <w:spacing w:line="360" w:lineRule="exact"/>
              <w:ind w:firstLine="480"/>
              <w:jc w:val="left"/>
              <w:rPr>
                <w:rFonts w:ascii="宋体" w:hAnsi="宋体" w:cs="仿宋"/>
                <w:sz w:val="24"/>
              </w:rPr>
            </w:pPr>
            <w:r>
              <w:rPr>
                <w:rFonts w:hint="eastAsia" w:ascii="仿宋" w:hAnsi="仿宋" w:eastAsia="仿宋" w:cs="仿宋"/>
                <w:sz w:val="24"/>
              </w:rPr>
              <w:t>2.响应供应商或响应产品制造商具有有效的环境管理体系（ISO14001）认证证书、职业健康安全管理体系认证证书、质量管理体系（ISO9001）认证证书，每提供一个得1分，最高得3分。</w:t>
            </w:r>
            <w:r>
              <w:rPr>
                <w:rFonts w:hint="eastAsia" w:ascii="仿宋" w:hAnsi="仿宋" w:eastAsia="仿宋" w:cs="仿宋"/>
                <w:b/>
                <w:bCs/>
                <w:sz w:val="24"/>
              </w:rPr>
              <w:t>响应文件中须同时提供证书复印件和全国认证认可信息公共服务平台截图，不提供不得分。</w:t>
            </w:r>
          </w:p>
        </w:tc>
        <w:tc>
          <w:tcPr>
            <w:tcW w:w="1045" w:type="dxa"/>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73" w:type="dxa"/>
            <w:vAlign w:val="center"/>
          </w:tcPr>
          <w:p>
            <w:pPr>
              <w:jc w:val="center"/>
              <w:rPr>
                <w:rFonts w:ascii="仿宋" w:hAnsi="仿宋" w:eastAsia="仿宋"/>
                <w:sz w:val="24"/>
              </w:rPr>
            </w:pPr>
            <w:r>
              <w:rPr>
                <w:rFonts w:hint="eastAsia" w:ascii="仿宋" w:hAnsi="仿宋" w:eastAsia="仿宋"/>
                <w:sz w:val="24"/>
              </w:rPr>
              <w:t>5</w:t>
            </w:r>
          </w:p>
        </w:tc>
        <w:tc>
          <w:tcPr>
            <w:tcW w:w="1202" w:type="dxa"/>
            <w:vAlign w:val="center"/>
          </w:tcPr>
          <w:p>
            <w:pPr>
              <w:jc w:val="center"/>
              <w:rPr>
                <w:rFonts w:ascii="仿宋" w:hAnsi="仿宋" w:eastAsia="仿宋"/>
                <w:sz w:val="24"/>
              </w:rPr>
            </w:pPr>
            <w:r>
              <w:rPr>
                <w:rFonts w:hint="eastAsia" w:ascii="仿宋" w:hAnsi="仿宋" w:eastAsia="仿宋"/>
                <w:sz w:val="24"/>
              </w:rPr>
              <w:t>业绩</w:t>
            </w:r>
          </w:p>
        </w:tc>
        <w:tc>
          <w:tcPr>
            <w:tcW w:w="888" w:type="dxa"/>
            <w:vAlign w:val="center"/>
          </w:tcPr>
          <w:p>
            <w:pPr>
              <w:jc w:val="center"/>
              <w:rPr>
                <w:rFonts w:ascii="仿宋" w:hAnsi="仿宋" w:eastAsia="仿宋"/>
                <w:sz w:val="24"/>
              </w:rPr>
            </w:pPr>
            <w:r>
              <w:rPr>
                <w:rFonts w:hint="eastAsia" w:ascii="仿宋" w:hAnsi="仿宋" w:eastAsia="仿宋"/>
                <w:sz w:val="24"/>
              </w:rPr>
              <w:t>5</w:t>
            </w:r>
          </w:p>
        </w:tc>
        <w:tc>
          <w:tcPr>
            <w:tcW w:w="5946" w:type="dxa"/>
            <w:vAlign w:val="center"/>
          </w:tcPr>
          <w:p>
            <w:pPr>
              <w:spacing w:line="360" w:lineRule="exact"/>
              <w:ind w:firstLine="480"/>
              <w:jc w:val="left"/>
              <w:rPr>
                <w:rFonts w:ascii="仿宋" w:hAnsi="仿宋" w:eastAsia="仿宋"/>
                <w:sz w:val="24"/>
              </w:rPr>
            </w:pPr>
            <w:r>
              <w:rPr>
                <w:rFonts w:hint="eastAsia" w:ascii="仿宋" w:hAnsi="仿宋" w:eastAsia="仿宋"/>
                <w:sz w:val="24"/>
              </w:rPr>
              <w:t>响应供应商承担过“地面气象观测站建设项目”类似业绩，每提供一份业绩得5分，本项最高得5分。</w:t>
            </w:r>
          </w:p>
          <w:p>
            <w:pPr>
              <w:spacing w:line="360" w:lineRule="exact"/>
              <w:jc w:val="left"/>
              <w:rPr>
                <w:rFonts w:ascii="仿宋" w:hAnsi="仿宋" w:eastAsia="仿宋"/>
                <w:sz w:val="24"/>
              </w:rPr>
            </w:pPr>
            <w:r>
              <w:rPr>
                <w:rFonts w:hint="eastAsia" w:ascii="仿宋" w:hAnsi="仿宋" w:eastAsia="仿宋"/>
                <w:b/>
                <w:bCs/>
                <w:sz w:val="24"/>
              </w:rPr>
              <w:t>须提供有效合同复印件，合同内容须含有签约主体、签约时间以及采购人联系方式等信息。不提供或提供不全不得分。</w:t>
            </w:r>
          </w:p>
        </w:tc>
        <w:tc>
          <w:tcPr>
            <w:tcW w:w="1045" w:type="dxa"/>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773"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6</w:t>
            </w:r>
          </w:p>
        </w:tc>
        <w:tc>
          <w:tcPr>
            <w:tcW w:w="1202" w:type="dxa"/>
            <w:vAlign w:val="center"/>
          </w:tcPr>
          <w:p>
            <w:pPr>
              <w:jc w:val="center"/>
              <w:rPr>
                <w:rFonts w:ascii="仿宋" w:hAnsi="仿宋" w:eastAsia="仿宋"/>
                <w:sz w:val="24"/>
              </w:rPr>
            </w:pPr>
            <w:r>
              <w:rPr>
                <w:rFonts w:hint="eastAsia" w:ascii="仿宋" w:hAnsi="仿宋" w:eastAsia="仿宋"/>
                <w:sz w:val="24"/>
              </w:rPr>
              <w:t>项目实施方案</w:t>
            </w:r>
          </w:p>
        </w:tc>
        <w:tc>
          <w:tcPr>
            <w:tcW w:w="888" w:type="dxa"/>
            <w:vAlign w:val="center"/>
          </w:tcPr>
          <w:p>
            <w:pPr>
              <w:jc w:val="center"/>
              <w:rPr>
                <w:rFonts w:ascii="仿宋" w:hAnsi="仿宋" w:eastAsia="仿宋"/>
                <w:sz w:val="24"/>
              </w:rPr>
            </w:pPr>
            <w:r>
              <w:rPr>
                <w:rFonts w:hint="eastAsia" w:ascii="仿宋" w:hAnsi="仿宋" w:eastAsia="仿宋"/>
                <w:sz w:val="24"/>
              </w:rPr>
              <w:t>8</w:t>
            </w:r>
          </w:p>
        </w:tc>
        <w:tc>
          <w:tcPr>
            <w:tcW w:w="5946" w:type="dxa"/>
            <w:vAlign w:val="center"/>
          </w:tcPr>
          <w:p>
            <w:pPr>
              <w:spacing w:line="360" w:lineRule="exact"/>
              <w:ind w:firstLine="480"/>
              <w:jc w:val="left"/>
              <w:rPr>
                <w:rFonts w:ascii="仿宋" w:hAnsi="仿宋" w:eastAsia="仿宋"/>
                <w:sz w:val="24"/>
              </w:rPr>
            </w:pPr>
            <w:r>
              <w:rPr>
                <w:rFonts w:hint="eastAsia" w:ascii="仿宋" w:hAnsi="仿宋" w:eastAsia="仿宋"/>
                <w:sz w:val="24"/>
              </w:rPr>
              <w:t>项目实施方案至少包括：①供货以及安装调试方案；②项目进度计划；③工期保证措施；④质量控制措施等内容。</w:t>
            </w:r>
          </w:p>
          <w:p>
            <w:pPr>
              <w:spacing w:line="360" w:lineRule="exact"/>
              <w:ind w:firstLine="480"/>
              <w:jc w:val="left"/>
              <w:rPr>
                <w:rFonts w:ascii="仿宋" w:hAnsi="仿宋" w:eastAsia="仿宋"/>
                <w:sz w:val="24"/>
              </w:rPr>
            </w:pPr>
            <w:r>
              <w:rPr>
                <w:rFonts w:hint="eastAsia" w:ascii="仿宋" w:hAnsi="仿宋" w:eastAsia="仿宋"/>
                <w:sz w:val="24"/>
              </w:rPr>
              <w:t>上述4方面内容中每缺少一项内容扣2分，每有一处需求分析内容存在缺陷或不足的扣1分，扣完为止。(本项最多得8分)</w:t>
            </w:r>
          </w:p>
          <w:p>
            <w:pPr>
              <w:spacing w:line="360" w:lineRule="exact"/>
              <w:ind w:firstLine="480"/>
              <w:jc w:val="left"/>
              <w:rPr>
                <w:rFonts w:ascii="仿宋" w:hAnsi="仿宋" w:eastAsia="仿宋"/>
                <w:sz w:val="24"/>
              </w:rPr>
            </w:pPr>
            <w:r>
              <w:rPr>
                <w:rFonts w:hint="eastAsia" w:ascii="仿宋" w:hAnsi="仿宋" w:eastAsia="仿宋"/>
                <w:sz w:val="24"/>
              </w:rPr>
              <w:t>注：实施方案内容存在缺陷或不足是指以下任意一种情形：</w:t>
            </w:r>
          </w:p>
          <w:p>
            <w:pPr>
              <w:spacing w:line="360" w:lineRule="exact"/>
              <w:ind w:firstLine="480"/>
              <w:jc w:val="left"/>
              <w:rPr>
                <w:rFonts w:ascii="仿宋" w:hAnsi="仿宋" w:eastAsia="仿宋"/>
                <w:sz w:val="24"/>
              </w:rPr>
            </w:pPr>
            <w:r>
              <w:rPr>
                <w:rFonts w:hint="eastAsia" w:ascii="仿宋" w:hAnsi="仿宋" w:eastAsia="仿宋"/>
                <w:sz w:val="24"/>
              </w:rPr>
              <w:t>方案内容不切合行业实际、不符合国家法规政策；或方案内容生搬硬造，与实际情况不符，存在偏差；或方案内容过于简略；或存在与项目无关的文字内容；或内容不适用项目实际情况；或内容逻辑漏洞或原理错误。</w:t>
            </w:r>
          </w:p>
        </w:tc>
        <w:tc>
          <w:tcPr>
            <w:tcW w:w="1045" w:type="dxa"/>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4" w:hRule="atLeast"/>
        </w:trPr>
        <w:tc>
          <w:tcPr>
            <w:tcW w:w="773"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7</w:t>
            </w:r>
          </w:p>
        </w:tc>
        <w:tc>
          <w:tcPr>
            <w:tcW w:w="1202" w:type="dxa"/>
            <w:vAlign w:val="center"/>
          </w:tcPr>
          <w:p>
            <w:pPr>
              <w:jc w:val="center"/>
              <w:rPr>
                <w:rFonts w:ascii="仿宋" w:hAnsi="仿宋" w:eastAsia="仿宋"/>
                <w:sz w:val="24"/>
              </w:rPr>
            </w:pPr>
            <w:r>
              <w:rPr>
                <w:rFonts w:hint="eastAsia" w:ascii="仿宋" w:hAnsi="仿宋" w:eastAsia="仿宋"/>
                <w:sz w:val="24"/>
              </w:rPr>
              <w:t>技术培训方案</w:t>
            </w:r>
          </w:p>
        </w:tc>
        <w:tc>
          <w:tcPr>
            <w:tcW w:w="888" w:type="dxa"/>
            <w:vAlign w:val="center"/>
          </w:tcPr>
          <w:p>
            <w:pPr>
              <w:jc w:val="center"/>
              <w:rPr>
                <w:rFonts w:ascii="仿宋" w:hAnsi="仿宋" w:eastAsia="仿宋"/>
                <w:sz w:val="24"/>
              </w:rPr>
            </w:pPr>
            <w:r>
              <w:rPr>
                <w:rFonts w:hint="eastAsia" w:ascii="仿宋" w:hAnsi="仿宋" w:eastAsia="仿宋"/>
                <w:sz w:val="24"/>
              </w:rPr>
              <w:t>8</w:t>
            </w:r>
          </w:p>
        </w:tc>
        <w:tc>
          <w:tcPr>
            <w:tcW w:w="5946" w:type="dxa"/>
            <w:vAlign w:val="center"/>
          </w:tcPr>
          <w:p>
            <w:pPr>
              <w:spacing w:line="360" w:lineRule="exact"/>
              <w:ind w:firstLine="480"/>
              <w:jc w:val="left"/>
              <w:rPr>
                <w:rFonts w:ascii="仿宋" w:hAnsi="仿宋" w:eastAsia="仿宋"/>
                <w:sz w:val="24"/>
              </w:rPr>
            </w:pPr>
            <w:r>
              <w:rPr>
                <w:rFonts w:hint="eastAsia" w:ascii="仿宋" w:hAnsi="仿宋" w:eastAsia="仿宋"/>
                <w:sz w:val="24"/>
              </w:rPr>
              <w:t>响应供应商根据本项目特点，技术培训方案至少包括：①能够详细给出合理的培训计划；②成熟的培训教材；③后期使用过程中的重点难点技术解析；④用于维护的技术手册等内容。</w:t>
            </w:r>
          </w:p>
          <w:p>
            <w:pPr>
              <w:spacing w:line="360" w:lineRule="exact"/>
              <w:ind w:firstLine="480"/>
              <w:jc w:val="left"/>
              <w:rPr>
                <w:rFonts w:ascii="仿宋" w:hAnsi="仿宋" w:eastAsia="仿宋"/>
                <w:sz w:val="24"/>
              </w:rPr>
            </w:pPr>
            <w:r>
              <w:rPr>
                <w:rFonts w:hint="eastAsia" w:ascii="仿宋" w:hAnsi="仿宋" w:eastAsia="仿宋"/>
                <w:sz w:val="24"/>
              </w:rPr>
              <w:t>上述4方面内容中每缺少一项内容扣2分，每有一处需求分析内容存在缺陷或不足的扣1分，扣完为止。(本项最多得8分)</w:t>
            </w:r>
          </w:p>
          <w:p>
            <w:pPr>
              <w:spacing w:line="360" w:lineRule="exact"/>
              <w:ind w:firstLine="480"/>
              <w:jc w:val="left"/>
              <w:rPr>
                <w:rFonts w:ascii="仿宋" w:hAnsi="仿宋" w:eastAsia="仿宋"/>
                <w:sz w:val="24"/>
              </w:rPr>
            </w:pPr>
            <w:r>
              <w:rPr>
                <w:rFonts w:hint="eastAsia" w:ascii="仿宋" w:hAnsi="仿宋" w:eastAsia="仿宋"/>
                <w:sz w:val="24"/>
              </w:rPr>
              <w:t>注：实施方案内容存在缺陷或不足是指以下任意一种情形：</w:t>
            </w:r>
          </w:p>
          <w:p>
            <w:pPr>
              <w:spacing w:line="360" w:lineRule="exact"/>
              <w:ind w:firstLine="480"/>
              <w:jc w:val="left"/>
              <w:rPr>
                <w:rFonts w:ascii="仿宋" w:hAnsi="仿宋" w:eastAsia="仿宋"/>
                <w:sz w:val="24"/>
              </w:rPr>
            </w:pPr>
            <w:r>
              <w:rPr>
                <w:rFonts w:hint="eastAsia" w:ascii="仿宋" w:hAnsi="仿宋" w:eastAsia="仿宋"/>
                <w:sz w:val="24"/>
              </w:rPr>
              <w:t>方案内容不切合行业实际、不符合国家法规政策；或方案内容生搬硬造，与实际情况不符，存在偏差；或方案内容过于简略；或存在与项目无关的文字内容；或内容不适用项目实际情况；或内容逻辑漏洞或原理错误。</w:t>
            </w:r>
          </w:p>
        </w:tc>
        <w:tc>
          <w:tcPr>
            <w:tcW w:w="1045" w:type="dxa"/>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773"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8</w:t>
            </w:r>
          </w:p>
        </w:tc>
        <w:tc>
          <w:tcPr>
            <w:tcW w:w="1202" w:type="dxa"/>
            <w:vAlign w:val="center"/>
          </w:tcPr>
          <w:p>
            <w:pPr>
              <w:jc w:val="center"/>
              <w:rPr>
                <w:rFonts w:ascii="仿宋" w:hAnsi="仿宋" w:eastAsia="仿宋"/>
                <w:sz w:val="24"/>
              </w:rPr>
            </w:pPr>
            <w:r>
              <w:rPr>
                <w:rFonts w:hint="eastAsia" w:ascii="仿宋" w:hAnsi="仿宋" w:eastAsia="仿宋"/>
                <w:sz w:val="24"/>
              </w:rPr>
              <w:t>售后保障服务</w:t>
            </w:r>
          </w:p>
        </w:tc>
        <w:tc>
          <w:tcPr>
            <w:tcW w:w="888" w:type="dxa"/>
            <w:vAlign w:val="center"/>
          </w:tcPr>
          <w:p>
            <w:pPr>
              <w:jc w:val="center"/>
              <w:rPr>
                <w:rFonts w:ascii="仿宋" w:hAnsi="仿宋" w:eastAsia="仿宋"/>
                <w:sz w:val="24"/>
              </w:rPr>
            </w:pPr>
            <w:r>
              <w:rPr>
                <w:rFonts w:hint="eastAsia" w:ascii="仿宋" w:hAnsi="仿宋" w:eastAsia="仿宋"/>
                <w:sz w:val="24"/>
              </w:rPr>
              <w:t>8</w:t>
            </w:r>
          </w:p>
        </w:tc>
        <w:tc>
          <w:tcPr>
            <w:tcW w:w="5946" w:type="dxa"/>
            <w:vAlign w:val="center"/>
          </w:tcPr>
          <w:p>
            <w:pPr>
              <w:spacing w:line="360" w:lineRule="exact"/>
              <w:ind w:firstLine="480"/>
              <w:jc w:val="left"/>
              <w:rPr>
                <w:rFonts w:ascii="仿宋" w:hAnsi="仿宋" w:eastAsia="仿宋"/>
                <w:sz w:val="24"/>
              </w:rPr>
            </w:pPr>
            <w:r>
              <w:rPr>
                <w:rFonts w:hint="eastAsia" w:ascii="仿宋" w:hAnsi="仿宋" w:eastAsia="仿宋"/>
                <w:sz w:val="24"/>
              </w:rPr>
              <w:t>响应供应商根据本项目特点，售后保障服务至少包括：①能够详细给出服务措施；②提供服务期内维护团队方案；③提供响应时间保证（保障联络方式、抢修时间）；④合理的售后服务流程等内容。</w:t>
            </w:r>
          </w:p>
          <w:p>
            <w:pPr>
              <w:spacing w:line="360" w:lineRule="exact"/>
              <w:ind w:firstLine="480"/>
              <w:jc w:val="left"/>
              <w:rPr>
                <w:rFonts w:ascii="仿宋" w:hAnsi="仿宋" w:eastAsia="仿宋"/>
                <w:sz w:val="24"/>
              </w:rPr>
            </w:pPr>
            <w:r>
              <w:rPr>
                <w:rFonts w:hint="eastAsia" w:ascii="仿宋" w:hAnsi="仿宋" w:eastAsia="仿宋"/>
                <w:sz w:val="24"/>
              </w:rPr>
              <w:t>上述4方面内容中每缺少一项内容扣2分，每有一处需求分析内容存在缺陷或不足的扣1分，扣完为止。(本项最多得8分)</w:t>
            </w:r>
          </w:p>
          <w:p>
            <w:pPr>
              <w:spacing w:line="360" w:lineRule="exact"/>
              <w:ind w:firstLine="480"/>
              <w:jc w:val="left"/>
              <w:rPr>
                <w:rFonts w:ascii="仿宋" w:hAnsi="仿宋" w:eastAsia="仿宋"/>
                <w:sz w:val="24"/>
              </w:rPr>
            </w:pPr>
            <w:r>
              <w:rPr>
                <w:rFonts w:hint="eastAsia" w:ascii="仿宋" w:hAnsi="仿宋" w:eastAsia="仿宋"/>
                <w:sz w:val="24"/>
              </w:rPr>
              <w:t>注：实施方案内容存在缺陷或不足是指以下任意一种情形：</w:t>
            </w:r>
          </w:p>
          <w:p>
            <w:pPr>
              <w:spacing w:line="360" w:lineRule="exact"/>
              <w:ind w:firstLine="480"/>
              <w:jc w:val="left"/>
              <w:rPr>
                <w:rFonts w:ascii="仿宋" w:hAnsi="仿宋" w:eastAsia="仿宋"/>
                <w:sz w:val="24"/>
              </w:rPr>
            </w:pPr>
            <w:r>
              <w:rPr>
                <w:rFonts w:hint="eastAsia" w:ascii="仿宋" w:hAnsi="仿宋" w:eastAsia="仿宋"/>
                <w:sz w:val="24"/>
              </w:rPr>
              <w:t>方案内容不切合行业实际、不符合国家法规政策；或方案内容生搬硬造，与实际情况不符，存在偏差；或方案内容过于简略；或存在与项目无关的文字内容；或内容不适用项目实际情况；或内容逻辑漏洞或原理错误。</w:t>
            </w:r>
          </w:p>
        </w:tc>
        <w:tc>
          <w:tcPr>
            <w:tcW w:w="1045" w:type="dxa"/>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73"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9</w:t>
            </w:r>
          </w:p>
        </w:tc>
        <w:tc>
          <w:tcPr>
            <w:tcW w:w="1202" w:type="dxa"/>
            <w:vAlign w:val="center"/>
          </w:tcPr>
          <w:p>
            <w:pPr>
              <w:jc w:val="center"/>
              <w:rPr>
                <w:rFonts w:ascii="仿宋" w:hAnsi="仿宋" w:eastAsia="仿宋"/>
                <w:sz w:val="24"/>
              </w:rPr>
            </w:pPr>
            <w:r>
              <w:rPr>
                <w:rFonts w:hint="eastAsia" w:ascii="仿宋" w:hAnsi="仿宋" w:eastAsia="仿宋"/>
                <w:sz w:val="24"/>
              </w:rPr>
              <w:t>价格</w:t>
            </w:r>
          </w:p>
        </w:tc>
        <w:tc>
          <w:tcPr>
            <w:tcW w:w="888" w:type="dxa"/>
            <w:vAlign w:val="center"/>
          </w:tcPr>
          <w:p>
            <w:pPr>
              <w:jc w:val="center"/>
              <w:rPr>
                <w:rFonts w:ascii="仿宋" w:hAnsi="仿宋" w:eastAsia="仿宋"/>
                <w:sz w:val="24"/>
              </w:rPr>
            </w:pPr>
            <w:r>
              <w:rPr>
                <w:rFonts w:hint="eastAsia" w:ascii="仿宋" w:hAnsi="仿宋" w:eastAsia="仿宋"/>
                <w:sz w:val="24"/>
              </w:rPr>
              <w:t>30</w:t>
            </w:r>
          </w:p>
        </w:tc>
        <w:tc>
          <w:tcPr>
            <w:tcW w:w="5946" w:type="dxa"/>
            <w:vAlign w:val="center"/>
          </w:tcPr>
          <w:p>
            <w:pPr>
              <w:spacing w:line="360" w:lineRule="exact"/>
              <w:ind w:firstLine="480"/>
              <w:jc w:val="left"/>
              <w:rPr>
                <w:rFonts w:ascii="仿宋" w:hAnsi="仿宋" w:eastAsia="仿宋"/>
                <w:sz w:val="24"/>
              </w:rPr>
            </w:pPr>
            <w:r>
              <w:rPr>
                <w:rFonts w:hint="eastAsia" w:ascii="仿宋" w:hAnsi="仿宋" w:eastAsia="仿宋"/>
                <w:sz w:val="24"/>
              </w:rPr>
              <w:t>价格分应当采用低价优先法计算，即满足磋商文件要求且最后报价中最低报价为评审基准价，其价格分为满分。其他响应供应商的价格分统一按照下列公式计算：</w:t>
            </w:r>
          </w:p>
          <w:p>
            <w:pPr>
              <w:spacing w:line="360" w:lineRule="exact"/>
              <w:jc w:val="left"/>
              <w:rPr>
                <w:rFonts w:ascii="仿宋" w:hAnsi="仿宋" w:eastAsia="仿宋"/>
                <w:sz w:val="24"/>
              </w:rPr>
            </w:pPr>
            <w:r>
              <w:rPr>
                <w:rFonts w:hint="eastAsia" w:ascii="仿宋" w:hAnsi="仿宋" w:eastAsia="仿宋"/>
                <w:sz w:val="24"/>
              </w:rPr>
              <w:t>最后报价得分=(评审基准价／最后报价)×价格分分值</w:t>
            </w:r>
          </w:p>
          <w:p>
            <w:pPr>
              <w:spacing w:line="360" w:lineRule="exact"/>
              <w:ind w:firstLine="480"/>
              <w:jc w:val="left"/>
              <w:rPr>
                <w:rFonts w:ascii="仿宋" w:hAnsi="仿宋" w:eastAsia="仿宋"/>
                <w:sz w:val="24"/>
              </w:rPr>
            </w:pPr>
            <w:r>
              <w:rPr>
                <w:rFonts w:hint="eastAsia" w:ascii="仿宋" w:hAnsi="仿宋" w:eastAsia="仿宋"/>
                <w:sz w:val="24"/>
              </w:rPr>
              <w:t>磋商过程中，不得去掉报价中的最高报价和最低报价。因落实政府采购政策进行价格调整的，以调整后的价格计算评审基准价和最后报价。</w:t>
            </w:r>
          </w:p>
        </w:tc>
        <w:tc>
          <w:tcPr>
            <w:tcW w:w="1045" w:type="dxa"/>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75" w:type="dxa"/>
            <w:gridSpan w:val="2"/>
            <w:vAlign w:val="center"/>
          </w:tcPr>
          <w:p>
            <w:pPr>
              <w:jc w:val="center"/>
              <w:rPr>
                <w:rFonts w:ascii="仿宋" w:hAnsi="仿宋" w:eastAsia="仿宋"/>
                <w:sz w:val="24"/>
              </w:rPr>
            </w:pPr>
            <w:r>
              <w:rPr>
                <w:rFonts w:hint="eastAsia" w:ascii="仿宋" w:hAnsi="仿宋" w:eastAsia="仿宋"/>
                <w:sz w:val="24"/>
              </w:rPr>
              <w:t>合计</w:t>
            </w:r>
          </w:p>
        </w:tc>
        <w:tc>
          <w:tcPr>
            <w:tcW w:w="888" w:type="dxa"/>
            <w:vAlign w:val="center"/>
          </w:tcPr>
          <w:p>
            <w:pPr>
              <w:jc w:val="center"/>
              <w:rPr>
                <w:rFonts w:ascii="仿宋" w:hAnsi="仿宋" w:eastAsia="仿宋"/>
                <w:sz w:val="24"/>
              </w:rPr>
            </w:pPr>
            <w:r>
              <w:rPr>
                <w:rFonts w:hint="eastAsia" w:ascii="仿宋" w:hAnsi="仿宋" w:eastAsia="仿宋"/>
                <w:sz w:val="24"/>
              </w:rPr>
              <w:t>100</w:t>
            </w:r>
          </w:p>
        </w:tc>
        <w:tc>
          <w:tcPr>
            <w:tcW w:w="5946" w:type="dxa"/>
            <w:vAlign w:val="center"/>
          </w:tcPr>
          <w:p>
            <w:pPr>
              <w:jc w:val="center"/>
              <w:rPr>
                <w:rFonts w:ascii="仿宋" w:hAnsi="仿宋" w:eastAsia="仿宋"/>
                <w:sz w:val="24"/>
              </w:rPr>
            </w:pPr>
          </w:p>
        </w:tc>
        <w:tc>
          <w:tcPr>
            <w:tcW w:w="1045" w:type="dxa"/>
          </w:tcPr>
          <w:p>
            <w:pPr>
              <w:jc w:val="center"/>
              <w:rPr>
                <w:rFonts w:ascii="仿宋" w:hAnsi="仿宋" w:eastAsia="仿宋"/>
                <w:sz w:val="24"/>
              </w:rPr>
            </w:pPr>
          </w:p>
        </w:tc>
      </w:tr>
    </w:tbl>
    <w:p>
      <w:pPr>
        <w:snapToGrid w:val="0"/>
        <w:spacing w:line="300" w:lineRule="auto"/>
        <w:jc w:val="center"/>
        <w:outlineLvl w:val="0"/>
        <w:rPr>
          <w:rFonts w:ascii="宋体" w:hAnsi="宋体" w:cs="宋体"/>
          <w:sz w:val="30"/>
          <w:szCs w:val="30"/>
        </w:rPr>
      </w:pPr>
      <w:r>
        <w:rPr>
          <w:rFonts w:hint="eastAsia" w:ascii="宋体" w:hAnsi="宋体"/>
          <w:b/>
          <w:bCs/>
          <w:sz w:val="44"/>
          <w:szCs w:val="44"/>
        </w:rPr>
        <w:t>第五部分 采购合同</w:t>
      </w:r>
    </w:p>
    <w:p>
      <w:pPr>
        <w:pStyle w:val="20"/>
        <w:jc w:val="center"/>
        <w:rPr>
          <w:color w:val="000000"/>
          <w:sz w:val="21"/>
          <w:szCs w:val="21"/>
        </w:rPr>
      </w:pPr>
      <w:r>
        <w:rPr>
          <w:rFonts w:hint="eastAsia" w:ascii="仿宋_GB2312" w:hAnsi="仿宋_GB2312" w:eastAsia="仿宋_GB2312" w:cs="仿宋_GB2312"/>
          <w:color w:val="000000"/>
        </w:rPr>
        <w:t>合同最终稿由供需双方协商后确定</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第六部分  质疑提出和处理</w:t>
      </w:r>
    </w:p>
    <w:p>
      <w:pPr>
        <w:pStyle w:val="76"/>
        <w:snapToGrid w:val="0"/>
        <w:spacing w:before="0" w:beforeAutospacing="0" w:after="0" w:afterAutospacing="0" w:line="400" w:lineRule="exact"/>
        <w:ind w:firstLine="560" w:firstLineChars="200"/>
        <w:rPr>
          <w:rFonts w:ascii="黑体" w:hAnsi="黑体" w:eastAsia="黑体" w:cs="黑体"/>
          <w:kern w:val="2"/>
          <w:sz w:val="28"/>
          <w:szCs w:val="28"/>
          <w:lang w:val="zh-CN"/>
        </w:rPr>
      </w:pPr>
    </w:p>
    <w:p>
      <w:pPr>
        <w:pStyle w:val="76"/>
        <w:snapToGrid w:val="0"/>
        <w:spacing w:before="0" w:beforeAutospacing="0" w:after="0" w:afterAutospacing="0" w:line="400" w:lineRule="exact"/>
        <w:ind w:firstLine="560" w:firstLineChars="200"/>
        <w:rPr>
          <w:rFonts w:ascii="黑体" w:hAnsi="黑体" w:eastAsia="黑体" w:cs="黑体"/>
          <w:kern w:val="2"/>
          <w:sz w:val="28"/>
          <w:szCs w:val="28"/>
          <w:lang w:val="zh-CN"/>
        </w:rPr>
      </w:pPr>
      <w:r>
        <w:rPr>
          <w:rFonts w:hint="eastAsia" w:ascii="黑体" w:hAnsi="黑体" w:eastAsia="黑体" w:cs="黑体"/>
          <w:kern w:val="2"/>
          <w:sz w:val="28"/>
          <w:szCs w:val="28"/>
          <w:lang w:val="zh-CN"/>
        </w:rPr>
        <w:t>一、质疑的提出</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lang w:val="zh-CN"/>
        </w:rPr>
        <w:t>1</w:t>
      </w:r>
      <w:r>
        <w:rPr>
          <w:rFonts w:hint="eastAsia" w:ascii="仿宋" w:hAnsi="仿宋" w:eastAsia="仿宋" w:cs="Times New Roman"/>
          <w:kern w:val="2"/>
          <w:sz w:val="28"/>
          <w:szCs w:val="28"/>
        </w:rPr>
        <w:t>.</w:t>
      </w:r>
      <w:r>
        <w:rPr>
          <w:rFonts w:hint="eastAsia" w:ascii="仿宋" w:hAnsi="仿宋" w:eastAsia="仿宋" w:cs="Times New Roman"/>
          <w:kern w:val="2"/>
          <w:sz w:val="28"/>
          <w:szCs w:val="28"/>
          <w:lang w:val="zh-CN"/>
        </w:rPr>
        <w:t>质疑人必须是直接参加本次招标活动的当事人。</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lang w:val="zh-CN"/>
        </w:rPr>
        <w:t>2</w:t>
      </w:r>
      <w:r>
        <w:rPr>
          <w:rFonts w:hint="eastAsia" w:ascii="仿宋" w:hAnsi="仿宋" w:eastAsia="仿宋" w:cs="Times New Roman"/>
          <w:kern w:val="2"/>
          <w:sz w:val="28"/>
          <w:szCs w:val="28"/>
        </w:rPr>
        <w:t>.</w:t>
      </w:r>
      <w:r>
        <w:rPr>
          <w:rFonts w:hint="eastAsia" w:ascii="仿宋" w:hAnsi="仿宋" w:eastAsia="仿宋" w:cs="Times New Roman"/>
          <w:kern w:val="2"/>
          <w:sz w:val="28"/>
          <w:szCs w:val="28"/>
          <w:lang w:val="zh-CN"/>
        </w:rPr>
        <w:t>供应商下载招标文件后，应仔细检查招标文件的所有内容，如对本次招标文件存在疑问，请将书面询问文件在本项目投标截止时间24小时前，送至采购单位。</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rPr>
        <w:t>3.</w:t>
      </w:r>
      <w:r>
        <w:rPr>
          <w:rFonts w:hint="eastAsia" w:ascii="仿宋" w:hAnsi="仿宋" w:eastAsia="仿宋" w:cs="Times New Roman"/>
          <w:kern w:val="2"/>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ascii="仿宋" w:hAnsi="仿宋" w:eastAsia="仿宋" w:cs="Times New Roman"/>
          <w:kern w:val="2"/>
          <w:sz w:val="28"/>
          <w:szCs w:val="28"/>
        </w:rPr>
        <w:t>采购</w:t>
      </w:r>
      <w:r>
        <w:rPr>
          <w:rFonts w:hint="eastAsia" w:ascii="仿宋" w:hAnsi="仿宋" w:eastAsia="仿宋" w:cs="Times New Roman"/>
          <w:kern w:val="2"/>
          <w:sz w:val="28"/>
          <w:szCs w:val="28"/>
          <w:lang w:val="zh-CN"/>
        </w:rPr>
        <w:t>人。</w:t>
      </w:r>
      <w:r>
        <w:rPr>
          <w:rFonts w:hint="eastAsia" w:ascii="仿宋" w:hAnsi="仿宋" w:eastAsia="仿宋" w:cs="Times New Roman"/>
          <w:kern w:val="2"/>
          <w:sz w:val="28"/>
          <w:szCs w:val="28"/>
        </w:rPr>
        <w:t>采购</w:t>
      </w:r>
      <w:r>
        <w:rPr>
          <w:rFonts w:hint="eastAsia" w:ascii="仿宋" w:hAnsi="仿宋" w:eastAsia="仿宋" w:cs="Times New Roman"/>
          <w:kern w:val="2"/>
          <w:sz w:val="28"/>
          <w:szCs w:val="28"/>
          <w:lang w:val="zh-CN"/>
        </w:rPr>
        <w:t>人不具有法定调查、认定权限。</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4.对本次招标有质疑的，实行实名制，不得进行虚假、恶意质疑。质疑人应在质疑有效期内以书面形式</w:t>
      </w:r>
      <w:r>
        <w:rPr>
          <w:rFonts w:hint="eastAsia" w:ascii="仿宋" w:hAnsi="仿宋" w:eastAsia="仿宋" w:cs="Times New Roman"/>
          <w:kern w:val="2"/>
          <w:sz w:val="28"/>
          <w:szCs w:val="28"/>
          <w:lang w:val="zh-CN"/>
        </w:rPr>
        <w:t>提出《质疑函》（格式请下载）</w:t>
      </w:r>
      <w:r>
        <w:rPr>
          <w:rFonts w:hint="eastAsia" w:ascii="仿宋" w:hAnsi="仿宋" w:eastAsia="仿宋" w:cs="Times New Roman"/>
          <w:kern w:val="2"/>
          <w:sz w:val="28"/>
          <w:szCs w:val="28"/>
        </w:rPr>
        <w:t>，《质疑函》内容应</w:t>
      </w:r>
      <w:r>
        <w:rPr>
          <w:rFonts w:hint="eastAsia" w:ascii="仿宋" w:hAnsi="仿宋" w:eastAsia="仿宋" w:cs="Times New Roman"/>
          <w:kern w:val="2"/>
          <w:sz w:val="28"/>
          <w:szCs w:val="28"/>
          <w:lang w:val="zh-CN"/>
        </w:rPr>
        <w:t>包括</w:t>
      </w:r>
      <w:r>
        <w:rPr>
          <w:rFonts w:hint="eastAsia" w:ascii="仿宋" w:hAnsi="仿宋" w:eastAsia="仿宋" w:cs="Times New Roman"/>
          <w:kern w:val="2"/>
          <w:sz w:val="28"/>
          <w:szCs w:val="28"/>
        </w:rPr>
        <w:t>质疑事项、主要内容、事实依据、适应法规条款、佐证材料等。同时，质疑人应保证其提出的质疑内容及相关佐证材料的真实性及来源的合法性，并承担相应的法律责任。</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lang w:val="zh-CN"/>
        </w:rPr>
        <w:t>对不能提供</w:t>
      </w:r>
      <w:r>
        <w:rPr>
          <w:rFonts w:hint="eastAsia" w:ascii="仿宋" w:hAnsi="仿宋" w:eastAsia="仿宋" w:cs="Times New Roman"/>
          <w:kern w:val="2"/>
          <w:sz w:val="28"/>
          <w:szCs w:val="28"/>
        </w:rPr>
        <w:t>相关佐证材料的、涉及商业秘密的、非书面形式的、非送达的、匿名的《质疑函》将不予受理。</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相关佐证材料要具备客观性、关联性、合法性，无法查实的（如宣传册、媒体报道、猜测、推理等）不能作为佐证材料。</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5.本项目要求供应商在法定质疑期内一次性提出针对同一采购程序环节的质疑。</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6.提供报名回执的复印件，由供应商法人代表签字或盖章，并加盖供应商公章，对不能提供的将不予受理。</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rPr>
      </w:pPr>
      <w:r>
        <w:rPr>
          <w:rFonts w:hint="eastAsia" w:ascii="黑体" w:hAnsi="黑体" w:eastAsia="黑体" w:cs="黑体"/>
          <w:kern w:val="2"/>
          <w:sz w:val="28"/>
          <w:szCs w:val="28"/>
        </w:rPr>
        <w:t>二、《质疑函》的受理和回复</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rPr>
        <w:t>1.《质疑函》须由质疑人的法定代表人或参加本次招标授权人</w:t>
      </w:r>
      <w:r>
        <w:rPr>
          <w:rFonts w:hint="eastAsia" w:ascii="仿宋" w:hAnsi="仿宋" w:eastAsia="仿宋" w:cs="Times New Roman"/>
          <w:kern w:val="2"/>
          <w:sz w:val="28"/>
          <w:szCs w:val="28"/>
          <w:lang w:val="zh-CN"/>
        </w:rPr>
        <w:t>送达采购单位和招标人。</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lang w:val="zh-CN"/>
        </w:rPr>
        <w:t>2</w:t>
      </w:r>
      <w:r>
        <w:rPr>
          <w:rFonts w:hint="eastAsia" w:ascii="仿宋" w:hAnsi="仿宋" w:eastAsia="仿宋" w:cs="Times New Roman"/>
          <w:kern w:val="2"/>
          <w:sz w:val="28"/>
          <w:szCs w:val="28"/>
        </w:rPr>
        <w:t>.</w:t>
      </w:r>
      <w:r>
        <w:rPr>
          <w:rFonts w:hint="eastAsia" w:ascii="仿宋" w:hAnsi="仿宋" w:eastAsia="仿宋" w:cs="Times New Roman"/>
          <w:kern w:val="2"/>
          <w:sz w:val="28"/>
          <w:szCs w:val="28"/>
          <w:lang w:val="zh-CN"/>
        </w:rPr>
        <w:t>在处理过程中，发现需要质疑人进一步补充相关佐证材料的，请质疑人在规定的时间内提供，质疑回复时间相应顺延。质疑人不能按时提供相关佐证材料的，视同放弃质疑。</w:t>
      </w:r>
    </w:p>
    <w:p>
      <w:pPr>
        <w:pStyle w:val="76"/>
        <w:snapToGrid w:val="0"/>
        <w:spacing w:before="0" w:beforeAutospacing="0" w:after="0" w:afterAutospacing="0" w:line="400" w:lineRule="exact"/>
        <w:ind w:firstLine="560" w:firstLineChars="200"/>
        <w:rPr>
          <w:rFonts w:ascii="黑体" w:hAnsi="黑体" w:eastAsia="黑体" w:cs="黑体"/>
          <w:kern w:val="2"/>
          <w:sz w:val="28"/>
          <w:szCs w:val="28"/>
          <w:lang w:val="zh-CN"/>
        </w:rPr>
      </w:pPr>
      <w:r>
        <w:rPr>
          <w:rFonts w:hint="eastAsia" w:ascii="黑体" w:hAnsi="黑体" w:eastAsia="黑体" w:cs="黑体"/>
          <w:kern w:val="2"/>
          <w:sz w:val="28"/>
          <w:szCs w:val="28"/>
          <w:lang w:val="zh-CN"/>
        </w:rPr>
        <w:t>三、质疑处理</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lang w:val="zh-CN"/>
        </w:rPr>
        <w:t>1</w:t>
      </w:r>
      <w:r>
        <w:rPr>
          <w:rFonts w:hint="eastAsia" w:ascii="仿宋" w:hAnsi="仿宋" w:eastAsia="仿宋" w:cs="Times New Roman"/>
          <w:kern w:val="2"/>
          <w:sz w:val="28"/>
          <w:szCs w:val="28"/>
        </w:rPr>
        <w:t>.</w:t>
      </w:r>
      <w:r>
        <w:rPr>
          <w:rFonts w:hint="eastAsia" w:ascii="仿宋" w:hAnsi="仿宋" w:eastAsia="仿宋" w:cs="Times New Roman"/>
          <w:kern w:val="2"/>
          <w:sz w:val="28"/>
          <w:szCs w:val="28"/>
          <w:lang w:val="zh-CN"/>
        </w:rPr>
        <w:t>质疑成立的处理。中华人民共和国财政部令第94号《政府采购质疑和投诉办法》处理。</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lang w:val="zh-CN"/>
        </w:rPr>
        <w:t>2</w:t>
      </w:r>
      <w:r>
        <w:rPr>
          <w:rFonts w:hint="eastAsia" w:ascii="仿宋" w:hAnsi="仿宋" w:eastAsia="仿宋" w:cs="Times New Roman"/>
          <w:kern w:val="2"/>
          <w:sz w:val="28"/>
          <w:szCs w:val="28"/>
        </w:rPr>
        <w:t>.</w:t>
      </w:r>
      <w:r>
        <w:rPr>
          <w:rFonts w:hint="eastAsia" w:ascii="仿宋" w:hAnsi="仿宋" w:eastAsia="仿宋" w:cs="Times New Roman"/>
          <w:kern w:val="2"/>
          <w:sz w:val="28"/>
          <w:szCs w:val="28"/>
          <w:lang w:val="zh-CN"/>
        </w:rPr>
        <w:t>质疑不成立的处理。</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lang w:val="zh-CN"/>
        </w:rPr>
        <w:t>1）质疑人书面《申请撤回质疑函》的，不作违约处理。</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rPr>
        <w:t>2）质疑人在规定的时间内不配合进行质疑调查处理的，按自动撤回《质疑函》处理。</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lang w:val="zh-CN"/>
        </w:rPr>
        <w:t>3）质疑人不按《质疑函》格式就提出质疑的，作违约处理。</w:t>
      </w:r>
      <w:r>
        <w:rPr>
          <w:rFonts w:hint="eastAsia" w:ascii="仿宋" w:hAnsi="仿宋" w:eastAsia="仿宋" w:cs="Times New Roman"/>
          <w:kern w:val="2"/>
          <w:sz w:val="28"/>
          <w:szCs w:val="28"/>
        </w:rPr>
        <w:t>招标人有权将其</w:t>
      </w:r>
      <w:r>
        <w:rPr>
          <w:rFonts w:hint="eastAsia" w:ascii="仿宋" w:hAnsi="仿宋" w:eastAsia="仿宋" w:cs="Times New Roman"/>
          <w:kern w:val="2"/>
          <w:sz w:val="28"/>
          <w:szCs w:val="28"/>
          <w:lang w:val="zh-CN"/>
        </w:rPr>
        <w:t>列入不良供应商名单。</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lang w:val="zh-CN"/>
        </w:rPr>
        <w:t>4）质疑人虽提供了相关</w:t>
      </w:r>
      <w:r>
        <w:rPr>
          <w:rFonts w:hint="eastAsia" w:ascii="仿宋" w:hAnsi="仿宋" w:eastAsia="仿宋" w:cs="Times New Roman"/>
          <w:kern w:val="2"/>
          <w:sz w:val="28"/>
          <w:szCs w:val="28"/>
        </w:rPr>
        <w:t>佐证材料</w:t>
      </w:r>
      <w:r>
        <w:rPr>
          <w:rFonts w:hint="eastAsia" w:ascii="仿宋" w:hAnsi="仿宋" w:eastAsia="仿宋" w:cs="Times New Roman"/>
          <w:kern w:val="2"/>
          <w:sz w:val="28"/>
          <w:szCs w:val="28"/>
          <w:lang w:val="zh-CN"/>
        </w:rPr>
        <w:t>，但不能证明其质疑成立的，招标人请质疑人补充相关</w:t>
      </w:r>
      <w:r>
        <w:rPr>
          <w:rFonts w:hint="eastAsia" w:ascii="仿宋" w:hAnsi="仿宋" w:eastAsia="仿宋" w:cs="Times New Roman"/>
          <w:kern w:val="2"/>
          <w:sz w:val="28"/>
          <w:szCs w:val="28"/>
        </w:rPr>
        <w:t>佐证材料</w:t>
      </w:r>
      <w:r>
        <w:rPr>
          <w:rFonts w:hint="eastAsia" w:ascii="仿宋" w:hAnsi="仿宋" w:eastAsia="仿宋" w:cs="Times New Roman"/>
          <w:kern w:val="2"/>
          <w:sz w:val="28"/>
          <w:szCs w:val="28"/>
          <w:lang w:val="zh-CN"/>
        </w:rPr>
        <w:t>，仍不能证明其质疑成立的，作违约处理。</w:t>
      </w:r>
      <w:r>
        <w:rPr>
          <w:rFonts w:hint="eastAsia" w:ascii="仿宋" w:hAnsi="仿宋" w:eastAsia="仿宋" w:cs="Times New Roman"/>
          <w:kern w:val="2"/>
          <w:sz w:val="28"/>
          <w:szCs w:val="28"/>
        </w:rPr>
        <w:t>招标人有权将其</w:t>
      </w:r>
      <w:r>
        <w:rPr>
          <w:rFonts w:hint="eastAsia" w:ascii="仿宋" w:hAnsi="仿宋" w:eastAsia="仿宋" w:cs="Times New Roman"/>
          <w:kern w:val="2"/>
          <w:sz w:val="28"/>
          <w:szCs w:val="28"/>
          <w:lang w:val="zh-CN"/>
        </w:rPr>
        <w:t>列入不良供应商名单。</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lang w:val="zh-CN"/>
        </w:rPr>
        <w:t>5）质疑人不能提供相关</w:t>
      </w:r>
      <w:r>
        <w:rPr>
          <w:rFonts w:hint="eastAsia" w:ascii="仿宋" w:hAnsi="仿宋" w:eastAsia="仿宋" w:cs="Times New Roman"/>
          <w:kern w:val="2"/>
          <w:sz w:val="28"/>
          <w:szCs w:val="28"/>
        </w:rPr>
        <w:t>佐证材料</w:t>
      </w:r>
      <w:r>
        <w:rPr>
          <w:rFonts w:hint="eastAsia" w:ascii="仿宋" w:hAnsi="仿宋" w:eastAsia="仿宋" w:cs="Times New Roman"/>
          <w:kern w:val="2"/>
          <w:sz w:val="28"/>
          <w:szCs w:val="28"/>
          <w:lang w:val="zh-CN"/>
        </w:rPr>
        <w:t>的，招标人已指出，质疑人仍然坚持提出质疑的，作违约处理。</w:t>
      </w:r>
      <w:r>
        <w:rPr>
          <w:rFonts w:hint="eastAsia" w:ascii="仿宋" w:hAnsi="仿宋" w:eastAsia="仿宋" w:cs="Times New Roman"/>
          <w:kern w:val="2"/>
          <w:sz w:val="28"/>
          <w:szCs w:val="28"/>
        </w:rPr>
        <w:t>招标人有权将其</w:t>
      </w:r>
      <w:r>
        <w:rPr>
          <w:rFonts w:hint="eastAsia" w:ascii="仿宋" w:hAnsi="仿宋" w:eastAsia="仿宋" w:cs="Times New Roman"/>
          <w:kern w:val="2"/>
          <w:sz w:val="28"/>
          <w:szCs w:val="28"/>
          <w:lang w:val="zh-CN"/>
        </w:rPr>
        <w:t>列入不良供应商名单。</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lang w:val="zh-CN"/>
        </w:rPr>
        <w:t>6）对明显有违背事实的、经相关专家或评委认定无依据的、经其他投标人举证无依据的质疑，作违约处理，</w:t>
      </w:r>
      <w:r>
        <w:rPr>
          <w:rFonts w:hint="eastAsia" w:ascii="仿宋" w:hAnsi="仿宋" w:eastAsia="仿宋" w:cs="Times New Roman"/>
          <w:kern w:val="2"/>
          <w:sz w:val="28"/>
          <w:szCs w:val="28"/>
        </w:rPr>
        <w:t>招标人有权将其</w:t>
      </w:r>
      <w:r>
        <w:rPr>
          <w:rFonts w:hint="eastAsia" w:ascii="仿宋" w:hAnsi="仿宋" w:eastAsia="仿宋" w:cs="Times New Roman"/>
          <w:kern w:val="2"/>
          <w:sz w:val="28"/>
          <w:szCs w:val="28"/>
          <w:lang w:val="zh-CN"/>
        </w:rPr>
        <w:t>列入不良供应商名单；</w:t>
      </w:r>
      <w:r>
        <w:rPr>
          <w:rFonts w:hint="eastAsia" w:ascii="仿宋" w:hAnsi="仿宋" w:eastAsia="仿宋" w:cs="Times New Roman"/>
          <w:kern w:val="2"/>
          <w:sz w:val="28"/>
          <w:szCs w:val="28"/>
        </w:rPr>
        <w:t>同时，</w:t>
      </w:r>
      <w:r>
        <w:rPr>
          <w:rFonts w:hint="eastAsia" w:ascii="仿宋" w:hAnsi="仿宋" w:eastAsia="仿宋" w:cs="Times New Roman"/>
          <w:kern w:val="2"/>
          <w:sz w:val="28"/>
          <w:szCs w:val="28"/>
          <w:lang w:val="zh-CN"/>
        </w:rPr>
        <w:t>对其中每一项不成立的质疑给予质疑人1年内禁入由招标人组织的政府采购活动的违约处理，依次类推；视情在南通</w:t>
      </w:r>
      <w:r>
        <w:rPr>
          <w:rFonts w:hint="eastAsia" w:ascii="仿宋" w:hAnsi="仿宋" w:eastAsia="仿宋" w:cs="Times New Roman"/>
          <w:kern w:val="2"/>
          <w:sz w:val="28"/>
          <w:szCs w:val="28"/>
        </w:rPr>
        <w:t>市公共资源交易中心网</w:t>
      </w:r>
      <w:r>
        <w:rPr>
          <w:rFonts w:hint="eastAsia" w:ascii="仿宋" w:hAnsi="仿宋" w:eastAsia="仿宋" w:cs="Times New Roman"/>
          <w:kern w:val="2"/>
          <w:sz w:val="28"/>
          <w:szCs w:val="28"/>
          <w:lang w:val="zh-CN"/>
        </w:rPr>
        <w:t>、省、国家级相关媒体予以披露。</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lang w:val="zh-CN"/>
        </w:rPr>
        <w:t>7）</w:t>
      </w:r>
      <w:r>
        <w:rPr>
          <w:rFonts w:hint="eastAsia" w:ascii="仿宋" w:hAnsi="仿宋" w:eastAsia="仿宋" w:cs="Times New Roman"/>
          <w:kern w:val="2"/>
          <w:sz w:val="28"/>
          <w:szCs w:val="28"/>
        </w:rPr>
        <w:t>质疑人</w:t>
      </w:r>
      <w:r>
        <w:rPr>
          <w:rFonts w:hint="eastAsia" w:ascii="仿宋" w:hAnsi="仿宋" w:eastAsia="仿宋" w:cs="Times New Roman"/>
          <w:kern w:val="2"/>
          <w:sz w:val="28"/>
          <w:szCs w:val="28"/>
          <w:lang w:val="zh-CN"/>
        </w:rPr>
        <w:t>承担使用虚假材料或恶意方式质疑的法律责任。</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黑体" w:hAnsi="黑体" w:eastAsia="黑体" w:cs="黑体"/>
          <w:kern w:val="2"/>
          <w:sz w:val="28"/>
          <w:szCs w:val="28"/>
          <w:lang w:val="zh-CN"/>
        </w:rPr>
        <w:t>四、无佐证材料的举报作违约处理</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lang w:val="zh-CN"/>
        </w:rPr>
        <w:t>供应商不得进行不提供相关佐证材料（含无法查实的如宣传册、媒体报道、猜测、推理等）向有关部门的举报，否则作违约处理。招标人有权取消其相应的资格，同时对其在1至3年内禁入由招标人组织的政府采购活动的违约处理。</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黑体" w:hAnsi="黑体" w:eastAsia="黑体" w:cs="黑体"/>
          <w:kern w:val="2"/>
          <w:sz w:val="28"/>
          <w:szCs w:val="28"/>
          <w:lang w:val="zh-CN"/>
        </w:rPr>
        <w:t>五、投诉不成立的作违约处理</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仿宋" w:hAnsi="仿宋" w:eastAsia="仿宋" w:cs="Times New Roman"/>
          <w:kern w:val="2"/>
          <w:sz w:val="28"/>
          <w:szCs w:val="28"/>
          <w:lang w:val="zh-CN"/>
        </w:rPr>
        <w:t>供应商进行质疑后，招标人回复质疑不成立，供应商仍进行投诉的，并最终投诉不成立的，作违约处理。招标人有权取消其相应的资格，同时对其在1至3年内禁入由招标人组织的政府采购活动的违约处理。</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zh-CN"/>
        </w:rPr>
      </w:pPr>
      <w:r>
        <w:rPr>
          <w:rFonts w:hint="eastAsia" w:ascii="黑体" w:hAnsi="黑体" w:eastAsia="黑体" w:cs="黑体"/>
          <w:kern w:val="2"/>
          <w:sz w:val="28"/>
          <w:szCs w:val="28"/>
          <w:lang w:val="zh-CN"/>
        </w:rPr>
        <w:t>六、《质疑函》、《质疑回复函》</w:t>
      </w:r>
    </w:p>
    <w:p>
      <w:pPr>
        <w:pStyle w:val="76"/>
        <w:snapToGrid w:val="0"/>
        <w:spacing w:before="0" w:beforeAutospacing="0" w:after="0" w:afterAutospacing="0" w:line="400" w:lineRule="exact"/>
        <w:ind w:firstLine="560" w:firstLineChars="200"/>
        <w:rPr>
          <w:rFonts w:ascii="仿宋" w:hAnsi="仿宋" w:eastAsia="仿宋" w:cs="Times New Roman"/>
          <w:kern w:val="2"/>
          <w:sz w:val="28"/>
          <w:szCs w:val="28"/>
          <w:lang w:val="en-GB"/>
        </w:rPr>
      </w:pPr>
      <w:r>
        <w:rPr>
          <w:rFonts w:hint="eastAsia" w:ascii="仿宋" w:hAnsi="仿宋" w:eastAsia="仿宋" w:cs="Times New Roman"/>
          <w:kern w:val="2"/>
          <w:sz w:val="28"/>
          <w:szCs w:val="28"/>
          <w:lang w:val="zh-CN"/>
        </w:rPr>
        <w:t>质疑、举报、投诉不成立的等相关情况，视情在南通政府采购网、省、国家级等相关媒体予以披露。并建议相关政府采购机构对该供应商同步实施1至3年内禁入。</w:t>
      </w:r>
    </w:p>
    <w:p>
      <w:pPr>
        <w:spacing w:before="290" w:beforeLines="100" w:line="360" w:lineRule="auto"/>
        <w:jc w:val="center"/>
        <w:rPr>
          <w:rFonts w:ascii="宋体" w:hAnsi="宋体"/>
          <w:b/>
          <w:sz w:val="44"/>
          <w:szCs w:val="44"/>
          <w:lang w:val="en-GB"/>
        </w:rPr>
      </w:pPr>
    </w:p>
    <w:p>
      <w:pPr>
        <w:spacing w:before="290" w:beforeLines="100" w:line="360" w:lineRule="auto"/>
        <w:jc w:val="center"/>
        <w:rPr>
          <w:rFonts w:ascii="宋体" w:hAnsi="宋体"/>
          <w:b/>
          <w:sz w:val="44"/>
          <w:szCs w:val="44"/>
          <w:lang w:val="en-GB"/>
        </w:rPr>
      </w:pPr>
      <w:r>
        <w:rPr>
          <w:rFonts w:hint="eastAsia" w:ascii="宋体" w:hAnsi="宋体"/>
          <w:b/>
          <w:sz w:val="44"/>
          <w:szCs w:val="44"/>
          <w:lang w:val="en-GB"/>
        </w:rPr>
        <w:t>第</w:t>
      </w:r>
      <w:r>
        <w:rPr>
          <w:rFonts w:hint="eastAsia" w:ascii="宋体" w:hAnsi="宋体"/>
          <w:b/>
          <w:sz w:val="44"/>
          <w:szCs w:val="44"/>
        </w:rPr>
        <w:t>七</w:t>
      </w:r>
      <w:r>
        <w:rPr>
          <w:rFonts w:hint="eastAsia" w:ascii="宋体" w:hAnsi="宋体"/>
          <w:b/>
          <w:sz w:val="44"/>
          <w:szCs w:val="44"/>
          <w:lang w:val="en-GB"/>
        </w:rPr>
        <w:t>部分</w:t>
      </w:r>
      <w:r>
        <w:rPr>
          <w:rFonts w:hint="eastAsia" w:ascii="宋体" w:hAnsi="宋体"/>
          <w:b/>
          <w:sz w:val="44"/>
          <w:szCs w:val="44"/>
        </w:rPr>
        <w:t xml:space="preserve"> </w:t>
      </w:r>
      <w:r>
        <w:rPr>
          <w:rFonts w:hint="eastAsia" w:ascii="宋体" w:hAnsi="宋体"/>
          <w:b/>
          <w:sz w:val="44"/>
          <w:szCs w:val="44"/>
          <w:lang w:val="en-GB"/>
        </w:rPr>
        <w:t>投标文件格式</w:t>
      </w:r>
    </w:p>
    <w:p>
      <w:pPr>
        <w:pStyle w:val="4"/>
        <w:rPr>
          <w:rFonts w:ascii="宋体" w:hAnsi="宋体" w:eastAsia="宋体"/>
        </w:rPr>
      </w:pPr>
      <w:r>
        <w:rPr>
          <w:rFonts w:hint="eastAsia" w:ascii="宋体" w:hAnsi="宋体" w:eastAsia="宋体"/>
        </w:rPr>
        <w:t>投标资料目录</w:t>
      </w:r>
    </w:p>
    <w:tbl>
      <w:tblPr>
        <w:tblStyle w:val="23"/>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877"/>
        <w:gridCol w:w="1857"/>
        <w:gridCol w:w="1717"/>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33" w:type="dxa"/>
            <w:vAlign w:val="center"/>
          </w:tcPr>
          <w:p>
            <w:pPr>
              <w:tabs>
                <w:tab w:val="left" w:pos="3375"/>
              </w:tabs>
              <w:autoSpaceDE w:val="0"/>
              <w:autoSpaceDN w:val="0"/>
              <w:adjustRightInd w:val="0"/>
              <w:snapToGrid w:val="0"/>
              <w:rPr>
                <w:rFonts w:ascii="宋体" w:hAnsi="宋体"/>
                <w:sz w:val="22"/>
                <w:szCs w:val="22"/>
              </w:rPr>
            </w:pPr>
            <w:r>
              <w:rPr>
                <w:rFonts w:hint="eastAsia" w:ascii="宋体" w:hAnsi="宋体"/>
                <w:sz w:val="22"/>
                <w:szCs w:val="22"/>
              </w:rPr>
              <w:t>序号</w:t>
            </w:r>
          </w:p>
        </w:tc>
        <w:tc>
          <w:tcPr>
            <w:tcW w:w="2877"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招标文件要求</w:t>
            </w:r>
          </w:p>
        </w:tc>
        <w:tc>
          <w:tcPr>
            <w:tcW w:w="1857"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证明材料名称</w:t>
            </w:r>
          </w:p>
        </w:tc>
        <w:tc>
          <w:tcPr>
            <w:tcW w:w="1717"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响应文件位置</w:t>
            </w:r>
          </w:p>
        </w:tc>
        <w:tc>
          <w:tcPr>
            <w:tcW w:w="2708"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33"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1</w:t>
            </w:r>
          </w:p>
        </w:tc>
        <w:tc>
          <w:tcPr>
            <w:tcW w:w="2877" w:type="dxa"/>
            <w:vAlign w:val="center"/>
          </w:tcPr>
          <w:p>
            <w:pPr>
              <w:tabs>
                <w:tab w:val="left" w:pos="3375"/>
              </w:tabs>
              <w:autoSpaceDE w:val="0"/>
              <w:autoSpaceDN w:val="0"/>
              <w:adjustRightInd w:val="0"/>
              <w:snapToGrid w:val="0"/>
              <w:jc w:val="center"/>
              <w:rPr>
                <w:rFonts w:ascii="宋体" w:hAnsi="宋体" w:cs="宋体"/>
                <w:sz w:val="22"/>
                <w:szCs w:val="22"/>
                <w:lang w:val="en-GB"/>
              </w:rPr>
            </w:pPr>
            <w:r>
              <w:rPr>
                <w:rFonts w:hint="eastAsia" w:ascii="宋体" w:hAnsi="宋体"/>
                <w:sz w:val="22"/>
                <w:szCs w:val="22"/>
              </w:rPr>
              <w:t>满足《中华人民共和国政府采购法》第二十二条规定</w:t>
            </w:r>
          </w:p>
        </w:tc>
        <w:tc>
          <w:tcPr>
            <w:tcW w:w="1857" w:type="dxa"/>
            <w:vAlign w:val="center"/>
          </w:tcPr>
          <w:p>
            <w:pPr>
              <w:tabs>
                <w:tab w:val="left" w:pos="3375"/>
              </w:tabs>
              <w:autoSpaceDE w:val="0"/>
              <w:autoSpaceDN w:val="0"/>
              <w:adjustRightInd w:val="0"/>
              <w:snapToGrid w:val="0"/>
              <w:ind w:firstLine="440" w:firstLineChars="200"/>
              <w:jc w:val="center"/>
              <w:rPr>
                <w:rFonts w:ascii="宋体" w:hAnsi="宋体"/>
                <w:sz w:val="22"/>
                <w:szCs w:val="22"/>
              </w:rPr>
            </w:pPr>
          </w:p>
        </w:tc>
        <w:tc>
          <w:tcPr>
            <w:tcW w:w="1717"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第    页</w:t>
            </w:r>
          </w:p>
        </w:tc>
        <w:tc>
          <w:tcPr>
            <w:tcW w:w="2708"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2</w:t>
            </w:r>
          </w:p>
        </w:tc>
        <w:tc>
          <w:tcPr>
            <w:tcW w:w="2877"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cs="宋体"/>
                <w:sz w:val="22"/>
                <w:szCs w:val="22"/>
              </w:rPr>
              <w:t>法定代表人身份证明书</w:t>
            </w:r>
          </w:p>
        </w:tc>
        <w:tc>
          <w:tcPr>
            <w:tcW w:w="1857" w:type="dxa"/>
            <w:vAlign w:val="center"/>
          </w:tcPr>
          <w:p>
            <w:pPr>
              <w:tabs>
                <w:tab w:val="left" w:pos="3375"/>
              </w:tabs>
              <w:autoSpaceDE w:val="0"/>
              <w:autoSpaceDN w:val="0"/>
              <w:adjustRightInd w:val="0"/>
              <w:snapToGrid w:val="0"/>
              <w:ind w:firstLine="440" w:firstLineChars="200"/>
              <w:jc w:val="center"/>
              <w:rPr>
                <w:rFonts w:ascii="宋体" w:hAnsi="宋体"/>
                <w:sz w:val="22"/>
                <w:szCs w:val="22"/>
              </w:rPr>
            </w:pPr>
          </w:p>
        </w:tc>
        <w:tc>
          <w:tcPr>
            <w:tcW w:w="1717"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第    页</w:t>
            </w:r>
          </w:p>
        </w:tc>
        <w:tc>
          <w:tcPr>
            <w:tcW w:w="2708"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3"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3</w:t>
            </w:r>
          </w:p>
        </w:tc>
        <w:tc>
          <w:tcPr>
            <w:tcW w:w="2877" w:type="dxa"/>
            <w:vAlign w:val="center"/>
          </w:tcPr>
          <w:p>
            <w:pPr>
              <w:tabs>
                <w:tab w:val="left" w:pos="3375"/>
              </w:tabs>
              <w:autoSpaceDE w:val="0"/>
              <w:autoSpaceDN w:val="0"/>
              <w:adjustRightInd w:val="0"/>
              <w:snapToGrid w:val="0"/>
              <w:jc w:val="center"/>
              <w:rPr>
                <w:rFonts w:ascii="宋体" w:hAnsi="宋体" w:cs="宋体"/>
                <w:sz w:val="22"/>
                <w:szCs w:val="22"/>
                <w:lang w:val="en-GB"/>
              </w:rPr>
            </w:pPr>
            <w:r>
              <w:rPr>
                <w:rFonts w:hint="eastAsia" w:ascii="宋体" w:hAnsi="宋体" w:cs="宋体"/>
                <w:sz w:val="22"/>
                <w:szCs w:val="22"/>
                <w:lang w:val="en-GB"/>
              </w:rPr>
              <w:t>法定代表人授权委托书</w:t>
            </w:r>
          </w:p>
        </w:tc>
        <w:tc>
          <w:tcPr>
            <w:tcW w:w="1857" w:type="dxa"/>
            <w:vAlign w:val="center"/>
          </w:tcPr>
          <w:p>
            <w:pPr>
              <w:tabs>
                <w:tab w:val="left" w:pos="3375"/>
              </w:tabs>
              <w:autoSpaceDE w:val="0"/>
              <w:autoSpaceDN w:val="0"/>
              <w:adjustRightInd w:val="0"/>
              <w:snapToGrid w:val="0"/>
              <w:ind w:firstLine="440" w:firstLineChars="200"/>
              <w:jc w:val="center"/>
              <w:rPr>
                <w:rFonts w:ascii="宋体" w:hAnsi="宋体"/>
                <w:sz w:val="22"/>
                <w:szCs w:val="22"/>
              </w:rPr>
            </w:pPr>
          </w:p>
        </w:tc>
        <w:tc>
          <w:tcPr>
            <w:tcW w:w="1717"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第    页</w:t>
            </w:r>
          </w:p>
        </w:tc>
        <w:tc>
          <w:tcPr>
            <w:tcW w:w="2708"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cs="宋体"/>
                <w:sz w:val="22"/>
                <w:szCs w:val="22"/>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3" w:type="dxa"/>
            <w:vAlign w:val="center"/>
          </w:tcPr>
          <w:p>
            <w:pPr>
              <w:tabs>
                <w:tab w:val="left" w:pos="3375"/>
              </w:tabs>
              <w:autoSpaceDE w:val="0"/>
              <w:autoSpaceDN w:val="0"/>
              <w:adjustRightInd w:val="0"/>
              <w:snapToGrid w:val="0"/>
              <w:jc w:val="center"/>
              <w:rPr>
                <w:rFonts w:ascii="宋体" w:hAnsi="宋体" w:cs="宋体"/>
                <w:sz w:val="22"/>
                <w:szCs w:val="22"/>
              </w:rPr>
            </w:pPr>
            <w:r>
              <w:rPr>
                <w:rFonts w:hint="eastAsia" w:ascii="宋体" w:hAnsi="宋体" w:cs="宋体"/>
                <w:sz w:val="22"/>
                <w:szCs w:val="22"/>
              </w:rPr>
              <w:t>4</w:t>
            </w:r>
          </w:p>
        </w:tc>
        <w:tc>
          <w:tcPr>
            <w:tcW w:w="2877" w:type="dxa"/>
            <w:vAlign w:val="center"/>
          </w:tcPr>
          <w:p>
            <w:pPr>
              <w:tabs>
                <w:tab w:val="left" w:pos="3375"/>
              </w:tabs>
              <w:autoSpaceDE w:val="0"/>
              <w:autoSpaceDN w:val="0"/>
              <w:adjustRightInd w:val="0"/>
              <w:snapToGrid w:val="0"/>
              <w:jc w:val="center"/>
              <w:rPr>
                <w:rFonts w:ascii="宋体" w:hAnsi="宋体" w:cs="宋体"/>
                <w:sz w:val="22"/>
                <w:szCs w:val="22"/>
                <w:lang w:val="en-GB"/>
              </w:rPr>
            </w:pPr>
            <w:r>
              <w:rPr>
                <w:rFonts w:hint="eastAsia" w:ascii="宋体" w:hAnsi="宋体" w:cs="宋体"/>
                <w:sz w:val="22"/>
                <w:szCs w:val="22"/>
                <w:lang w:val="en-GB"/>
              </w:rPr>
              <w:t>营业执照</w:t>
            </w:r>
          </w:p>
        </w:tc>
        <w:tc>
          <w:tcPr>
            <w:tcW w:w="1857" w:type="dxa"/>
            <w:vAlign w:val="center"/>
          </w:tcPr>
          <w:p>
            <w:pPr>
              <w:tabs>
                <w:tab w:val="left" w:pos="3375"/>
              </w:tabs>
              <w:autoSpaceDE w:val="0"/>
              <w:autoSpaceDN w:val="0"/>
              <w:adjustRightInd w:val="0"/>
              <w:snapToGrid w:val="0"/>
              <w:ind w:firstLine="440" w:firstLineChars="200"/>
              <w:jc w:val="center"/>
              <w:rPr>
                <w:rFonts w:ascii="宋体" w:hAnsi="宋体"/>
                <w:sz w:val="22"/>
                <w:szCs w:val="22"/>
              </w:rPr>
            </w:pPr>
          </w:p>
        </w:tc>
        <w:tc>
          <w:tcPr>
            <w:tcW w:w="1717"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第    页</w:t>
            </w:r>
          </w:p>
        </w:tc>
        <w:tc>
          <w:tcPr>
            <w:tcW w:w="2708" w:type="dxa"/>
            <w:vAlign w:val="center"/>
          </w:tcPr>
          <w:p>
            <w:pPr>
              <w:tabs>
                <w:tab w:val="left" w:pos="3375"/>
              </w:tabs>
              <w:autoSpaceDE w:val="0"/>
              <w:autoSpaceDN w:val="0"/>
              <w:adjustRightInd w:val="0"/>
              <w:snapToGrid w:val="0"/>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3" w:type="dxa"/>
            <w:vAlign w:val="center"/>
          </w:tcPr>
          <w:p>
            <w:pPr>
              <w:tabs>
                <w:tab w:val="left" w:pos="3375"/>
              </w:tabs>
              <w:autoSpaceDE w:val="0"/>
              <w:autoSpaceDN w:val="0"/>
              <w:adjustRightInd w:val="0"/>
              <w:snapToGrid w:val="0"/>
              <w:jc w:val="center"/>
              <w:rPr>
                <w:rFonts w:ascii="宋体" w:hAnsi="宋体" w:cs="宋体"/>
                <w:sz w:val="22"/>
                <w:szCs w:val="22"/>
              </w:rPr>
            </w:pPr>
            <w:r>
              <w:rPr>
                <w:rFonts w:hint="eastAsia" w:ascii="宋体" w:hAnsi="宋体" w:cs="宋体"/>
                <w:sz w:val="22"/>
                <w:szCs w:val="22"/>
              </w:rPr>
              <w:t>5</w:t>
            </w:r>
          </w:p>
        </w:tc>
        <w:tc>
          <w:tcPr>
            <w:tcW w:w="2877" w:type="dxa"/>
            <w:vAlign w:val="center"/>
          </w:tcPr>
          <w:p>
            <w:pPr>
              <w:tabs>
                <w:tab w:val="left" w:pos="3375"/>
              </w:tabs>
              <w:autoSpaceDE w:val="0"/>
              <w:autoSpaceDN w:val="0"/>
              <w:adjustRightInd w:val="0"/>
              <w:snapToGrid w:val="0"/>
              <w:jc w:val="left"/>
              <w:rPr>
                <w:rFonts w:ascii="宋体" w:hAnsi="宋体" w:cs="宋体"/>
                <w:sz w:val="22"/>
                <w:szCs w:val="22"/>
                <w:lang w:val="en-GB"/>
              </w:rPr>
            </w:pPr>
            <w:r>
              <w:rPr>
                <w:rFonts w:hint="eastAsia" w:ascii="宋体" w:hAnsi="宋体" w:cs="宋体"/>
                <w:sz w:val="22"/>
                <w:szCs w:val="22"/>
                <w:lang w:val="en-GB"/>
              </w:rPr>
              <w:t>投标供应商其他资格要求</w:t>
            </w:r>
          </w:p>
        </w:tc>
        <w:tc>
          <w:tcPr>
            <w:tcW w:w="1857" w:type="dxa"/>
            <w:vAlign w:val="center"/>
          </w:tcPr>
          <w:p>
            <w:pPr>
              <w:tabs>
                <w:tab w:val="left" w:pos="3375"/>
              </w:tabs>
              <w:autoSpaceDE w:val="0"/>
              <w:autoSpaceDN w:val="0"/>
              <w:adjustRightInd w:val="0"/>
              <w:snapToGrid w:val="0"/>
              <w:jc w:val="left"/>
              <w:rPr>
                <w:rFonts w:ascii="宋体" w:hAnsi="宋体"/>
                <w:sz w:val="22"/>
                <w:szCs w:val="22"/>
              </w:rPr>
            </w:pPr>
          </w:p>
        </w:tc>
        <w:tc>
          <w:tcPr>
            <w:tcW w:w="1717"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第    页</w:t>
            </w:r>
          </w:p>
        </w:tc>
        <w:tc>
          <w:tcPr>
            <w:tcW w:w="2708"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33" w:type="dxa"/>
            <w:vAlign w:val="center"/>
          </w:tcPr>
          <w:p>
            <w:pPr>
              <w:tabs>
                <w:tab w:val="left" w:pos="3375"/>
              </w:tabs>
              <w:autoSpaceDE w:val="0"/>
              <w:autoSpaceDN w:val="0"/>
              <w:adjustRightInd w:val="0"/>
              <w:snapToGrid w:val="0"/>
              <w:jc w:val="center"/>
              <w:rPr>
                <w:rFonts w:ascii="宋体" w:hAnsi="宋体" w:cs="宋体"/>
                <w:sz w:val="22"/>
                <w:szCs w:val="22"/>
              </w:rPr>
            </w:pPr>
            <w:r>
              <w:rPr>
                <w:rFonts w:hint="eastAsia" w:ascii="宋体" w:hAnsi="宋体" w:cs="宋体"/>
                <w:sz w:val="22"/>
                <w:szCs w:val="22"/>
              </w:rPr>
              <w:t>6</w:t>
            </w:r>
          </w:p>
        </w:tc>
        <w:tc>
          <w:tcPr>
            <w:tcW w:w="2877" w:type="dxa"/>
            <w:vAlign w:val="center"/>
          </w:tcPr>
          <w:p>
            <w:pPr>
              <w:tabs>
                <w:tab w:val="left" w:pos="3375"/>
              </w:tabs>
              <w:autoSpaceDE w:val="0"/>
              <w:autoSpaceDN w:val="0"/>
              <w:adjustRightInd w:val="0"/>
              <w:snapToGrid w:val="0"/>
              <w:jc w:val="center"/>
              <w:rPr>
                <w:rFonts w:ascii="宋体" w:hAnsi="宋体" w:cs="宋体"/>
                <w:sz w:val="22"/>
                <w:szCs w:val="22"/>
                <w:lang w:val="en-GB"/>
              </w:rPr>
            </w:pPr>
            <w:r>
              <w:rPr>
                <w:rFonts w:hint="eastAsia" w:ascii="宋体" w:hAnsi="宋体" w:cs="宋体"/>
                <w:sz w:val="22"/>
                <w:szCs w:val="22"/>
                <w:lang w:val="en-GB"/>
              </w:rPr>
              <w:t>技术方案</w:t>
            </w:r>
          </w:p>
        </w:tc>
        <w:tc>
          <w:tcPr>
            <w:tcW w:w="1857" w:type="dxa"/>
            <w:vAlign w:val="center"/>
          </w:tcPr>
          <w:p>
            <w:pPr>
              <w:tabs>
                <w:tab w:val="left" w:pos="3375"/>
              </w:tabs>
              <w:autoSpaceDE w:val="0"/>
              <w:autoSpaceDN w:val="0"/>
              <w:adjustRightInd w:val="0"/>
              <w:snapToGrid w:val="0"/>
              <w:jc w:val="center"/>
              <w:rPr>
                <w:rFonts w:ascii="宋体" w:hAnsi="宋体"/>
                <w:sz w:val="22"/>
                <w:szCs w:val="22"/>
              </w:rPr>
            </w:pPr>
          </w:p>
        </w:tc>
        <w:tc>
          <w:tcPr>
            <w:tcW w:w="1717" w:type="dxa"/>
            <w:vAlign w:val="center"/>
          </w:tcPr>
          <w:p>
            <w:pPr>
              <w:tabs>
                <w:tab w:val="left" w:pos="3375"/>
              </w:tabs>
              <w:autoSpaceDE w:val="0"/>
              <w:autoSpaceDN w:val="0"/>
              <w:adjustRightInd w:val="0"/>
              <w:snapToGrid w:val="0"/>
              <w:jc w:val="center"/>
              <w:rPr>
                <w:rFonts w:ascii="宋体" w:hAnsi="宋体"/>
                <w:sz w:val="22"/>
                <w:szCs w:val="22"/>
              </w:rPr>
            </w:pPr>
            <w:r>
              <w:rPr>
                <w:rFonts w:hint="eastAsia" w:ascii="宋体" w:hAnsi="宋体"/>
                <w:sz w:val="22"/>
                <w:szCs w:val="22"/>
              </w:rPr>
              <w:t>第    页</w:t>
            </w:r>
          </w:p>
        </w:tc>
        <w:tc>
          <w:tcPr>
            <w:tcW w:w="2708" w:type="dxa"/>
            <w:vAlign w:val="center"/>
          </w:tcPr>
          <w:p>
            <w:pPr>
              <w:tabs>
                <w:tab w:val="left" w:pos="3375"/>
              </w:tabs>
              <w:autoSpaceDE w:val="0"/>
              <w:autoSpaceDN w:val="0"/>
              <w:adjustRightInd w:val="0"/>
              <w:snapToGrid w:val="0"/>
              <w:rPr>
                <w:rFonts w:ascii="宋体" w:hAnsi="宋体"/>
                <w:sz w:val="22"/>
                <w:szCs w:val="22"/>
              </w:rPr>
            </w:pPr>
            <w:r>
              <w:rPr>
                <w:rFonts w:hint="eastAsia" w:ascii="宋体" w:hAnsi="宋体" w:cs="宋体"/>
                <w:kern w:val="0"/>
                <w:sz w:val="22"/>
                <w:szCs w:val="22"/>
              </w:rPr>
              <w:t>按照评分标准提供相应的材料及方案，文件目录前提供评分索引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610" w:type="dxa"/>
            <w:gridSpan w:val="2"/>
            <w:vAlign w:val="center"/>
          </w:tcPr>
          <w:p>
            <w:pPr>
              <w:tabs>
                <w:tab w:val="left" w:pos="3375"/>
              </w:tabs>
              <w:autoSpaceDE w:val="0"/>
              <w:autoSpaceDN w:val="0"/>
              <w:adjustRightInd w:val="0"/>
              <w:snapToGrid w:val="0"/>
              <w:jc w:val="center"/>
              <w:rPr>
                <w:rFonts w:ascii="黑体" w:hAnsi="宋体" w:eastAsia="黑体"/>
                <w:szCs w:val="21"/>
              </w:rPr>
            </w:pPr>
            <w:r>
              <w:rPr>
                <w:rFonts w:hint="eastAsia" w:ascii="黑体" w:hAnsi="宋体" w:eastAsia="黑体"/>
                <w:bCs/>
                <w:sz w:val="24"/>
                <w:szCs w:val="24"/>
              </w:rPr>
              <w:t>开标一览表</w:t>
            </w:r>
          </w:p>
        </w:tc>
        <w:tc>
          <w:tcPr>
            <w:tcW w:w="6282" w:type="dxa"/>
            <w:gridSpan w:val="3"/>
            <w:vAlign w:val="center"/>
          </w:tcPr>
          <w:p>
            <w:pPr>
              <w:tabs>
                <w:tab w:val="left" w:pos="3375"/>
              </w:tabs>
              <w:autoSpaceDE w:val="0"/>
              <w:autoSpaceDN w:val="0"/>
              <w:adjustRightInd w:val="0"/>
              <w:snapToGrid w:val="0"/>
              <w:ind w:firstLine="1920" w:firstLineChars="800"/>
              <w:rPr>
                <w:rFonts w:ascii="宋体" w:hAnsi="宋体"/>
                <w:szCs w:val="21"/>
              </w:rPr>
            </w:pPr>
            <w:r>
              <w:rPr>
                <w:rFonts w:hint="eastAsia" w:ascii="黑体" w:hAnsi="宋体" w:eastAsia="黑体"/>
                <w:bCs/>
                <w:sz w:val="24"/>
                <w:szCs w:val="24"/>
              </w:rPr>
              <w:t>一份须单独密封</w:t>
            </w:r>
          </w:p>
        </w:tc>
      </w:tr>
    </w:tbl>
    <w:p>
      <w:pPr>
        <w:spacing w:line="360" w:lineRule="auto"/>
        <w:ind w:left="-360" w:firstLine="420" w:firstLineChars="200"/>
        <w:rPr>
          <w:rFonts w:ascii="宋体" w:hAnsi="宋体"/>
          <w:szCs w:val="21"/>
        </w:rPr>
      </w:pPr>
    </w:p>
    <w:p>
      <w:pPr>
        <w:spacing w:line="520" w:lineRule="exact"/>
        <w:ind w:firstLine="420" w:firstLineChars="150"/>
        <w:rPr>
          <w:rFonts w:ascii="宋体" w:hAnsi="宋体"/>
          <w:sz w:val="28"/>
          <w:szCs w:val="28"/>
        </w:rPr>
      </w:pPr>
      <w:r>
        <w:rPr>
          <w:rFonts w:hint="eastAsia" w:ascii="宋体" w:hAnsi="宋体"/>
          <w:sz w:val="28"/>
          <w:szCs w:val="28"/>
        </w:rPr>
        <w:t>单位名称（公章）             法定代表人或被授权人（签字）</w:t>
      </w:r>
    </w:p>
    <w:p>
      <w:pPr>
        <w:ind w:firstLine="210" w:firstLineChars="100"/>
        <w:rPr>
          <w:rFonts w:ascii="宋体" w:hAnsi="宋体"/>
          <w:bCs/>
          <w:szCs w:val="21"/>
        </w:rPr>
      </w:pPr>
    </w:p>
    <w:p>
      <w:pPr>
        <w:ind w:firstLine="210" w:firstLineChars="100"/>
        <w:rPr>
          <w:rFonts w:ascii="宋体" w:hAnsi="宋体"/>
          <w:bCs/>
          <w:szCs w:val="21"/>
        </w:rPr>
      </w:pPr>
    </w:p>
    <w:p>
      <w:pPr>
        <w:ind w:firstLine="210" w:firstLineChars="100"/>
        <w:rPr>
          <w:rFonts w:ascii="宋体" w:hAnsi="宋体"/>
        </w:rPr>
      </w:pPr>
      <w:r>
        <w:rPr>
          <w:rFonts w:hint="eastAsia" w:ascii="宋体" w:hAnsi="宋体"/>
          <w:bCs/>
          <w:szCs w:val="21"/>
        </w:rPr>
        <w:t>（</w:t>
      </w:r>
      <w:r>
        <w:rPr>
          <w:rFonts w:hint="eastAsia" w:ascii="宋体" w:hAnsi="宋体" w:cs="宋体"/>
          <w:szCs w:val="21"/>
          <w:lang w:val="en-GB"/>
        </w:rPr>
        <w:t>1）投标资料目录装订于投标文件内的第1页。</w:t>
      </w:r>
    </w:p>
    <w:p>
      <w:pPr>
        <w:spacing w:line="440" w:lineRule="atLeast"/>
        <w:ind w:firstLine="210" w:firstLineChars="100"/>
        <w:rPr>
          <w:rFonts w:ascii="宋体" w:hAnsi="宋体"/>
        </w:rPr>
      </w:pPr>
      <w:r>
        <w:rPr>
          <w:rFonts w:hint="eastAsia" w:ascii="宋体" w:hAnsi="宋体"/>
          <w:bCs/>
          <w:szCs w:val="21"/>
        </w:rPr>
        <w:t>（2）</w:t>
      </w:r>
      <w:r>
        <w:rPr>
          <w:rFonts w:hint="eastAsia" w:ascii="宋体" w:hAnsi="宋体" w:cs="宋体"/>
          <w:szCs w:val="21"/>
        </w:rPr>
        <w:t>《授权书》及相关《</w:t>
      </w:r>
      <w:r>
        <w:rPr>
          <w:rFonts w:hint="eastAsia" w:ascii="宋体" w:hAnsi="宋体" w:cs="宋体"/>
          <w:szCs w:val="21"/>
          <w:lang w:val="en-GB"/>
        </w:rPr>
        <w:t>承诺函</w:t>
      </w:r>
      <w:r>
        <w:rPr>
          <w:rFonts w:hint="eastAsia" w:ascii="宋体" w:hAnsi="宋体" w:cs="宋体"/>
          <w:szCs w:val="21"/>
        </w:rPr>
        <w:t>》《询价报价单》等格式详见附件。</w:t>
      </w:r>
    </w:p>
    <w:p>
      <w:pPr>
        <w:pStyle w:val="4"/>
        <w:jc w:val="both"/>
        <w:rPr>
          <w:rFonts w:ascii="宋体" w:hAnsi="宋体" w:eastAsia="宋体"/>
          <w:sz w:val="24"/>
          <w:szCs w:val="24"/>
        </w:rPr>
      </w:pPr>
      <w:bookmarkStart w:id="38" w:name="_Toc3779"/>
      <w:bookmarkStart w:id="39" w:name="_一、法定代表人授权书"/>
      <w:bookmarkStart w:id="40" w:name="_二、投标承诺函"/>
      <w:bookmarkStart w:id="41" w:name="_Toc19289"/>
    </w:p>
    <w:p>
      <w:pPr>
        <w:pStyle w:val="5"/>
        <w:rPr>
          <w:rFonts w:ascii="宋体" w:hAnsi="宋体"/>
        </w:rPr>
      </w:pPr>
    </w:p>
    <w:p>
      <w:pPr>
        <w:pStyle w:val="5"/>
        <w:rPr>
          <w:rFonts w:ascii="宋体" w:hAnsi="宋体"/>
        </w:rPr>
      </w:pPr>
    </w:p>
    <w:p>
      <w:pPr>
        <w:pStyle w:val="5"/>
        <w:rPr>
          <w:rFonts w:ascii="宋体" w:hAnsi="宋体"/>
        </w:rPr>
      </w:pPr>
    </w:p>
    <w:p>
      <w:pPr>
        <w:pStyle w:val="5"/>
        <w:rPr>
          <w:rFonts w:ascii="宋体" w:hAnsi="宋体"/>
        </w:rPr>
      </w:pPr>
    </w:p>
    <w:p>
      <w:pPr>
        <w:pStyle w:val="5"/>
        <w:rPr>
          <w:rFonts w:ascii="宋体" w:hAnsi="宋体"/>
        </w:rPr>
      </w:pPr>
    </w:p>
    <w:p>
      <w:pPr>
        <w:pStyle w:val="5"/>
        <w:rPr>
          <w:rFonts w:ascii="宋体" w:hAnsi="宋体"/>
        </w:rPr>
      </w:pPr>
    </w:p>
    <w:p>
      <w:pPr>
        <w:pStyle w:val="5"/>
        <w:rPr>
          <w:rFonts w:ascii="宋体" w:hAnsi="宋体"/>
        </w:rPr>
      </w:pPr>
    </w:p>
    <w:p>
      <w:pPr>
        <w:pStyle w:val="5"/>
        <w:rPr>
          <w:rFonts w:ascii="宋体" w:hAnsi="宋体"/>
        </w:rPr>
      </w:pPr>
    </w:p>
    <w:p>
      <w:pPr>
        <w:pStyle w:val="5"/>
        <w:rPr>
          <w:rFonts w:ascii="宋体" w:hAnsi="宋体"/>
        </w:rPr>
      </w:pPr>
    </w:p>
    <w:p>
      <w:pPr>
        <w:pStyle w:val="5"/>
        <w:rPr>
          <w:rFonts w:ascii="宋体" w:hAnsi="宋体"/>
        </w:rPr>
      </w:pPr>
    </w:p>
    <w:p>
      <w:pPr>
        <w:pStyle w:val="5"/>
        <w:rPr>
          <w:rFonts w:ascii="宋体" w:hAnsi="宋体"/>
        </w:rPr>
      </w:pPr>
    </w:p>
    <w:p>
      <w:pPr>
        <w:pStyle w:val="5"/>
        <w:rPr>
          <w:rFonts w:ascii="宋体" w:hAnsi="宋体"/>
        </w:rPr>
      </w:pPr>
    </w:p>
    <w:p>
      <w:pPr>
        <w:pStyle w:val="5"/>
        <w:rPr>
          <w:rFonts w:ascii="宋体" w:hAnsi="宋体"/>
        </w:rPr>
      </w:pPr>
    </w:p>
    <w:bookmarkEnd w:id="38"/>
    <w:bookmarkEnd w:id="39"/>
    <w:bookmarkEnd w:id="40"/>
    <w:bookmarkEnd w:id="41"/>
    <w:p>
      <w:pPr>
        <w:pStyle w:val="56"/>
        <w:widowControl/>
        <w:snapToGrid w:val="0"/>
        <w:spacing w:line="300" w:lineRule="auto"/>
        <w:ind w:firstLine="0" w:firstLineChars="0"/>
        <w:jc w:val="center"/>
        <w:rPr>
          <w:rFonts w:ascii="宋体" w:eastAsia="宋体" w:cs="宋体"/>
          <w:b/>
          <w:sz w:val="36"/>
          <w:szCs w:val="36"/>
        </w:rPr>
      </w:pPr>
    </w:p>
    <w:p>
      <w:pPr>
        <w:pStyle w:val="56"/>
        <w:widowControl/>
        <w:snapToGrid w:val="0"/>
        <w:spacing w:line="300" w:lineRule="auto"/>
        <w:ind w:firstLine="0" w:firstLineChars="0"/>
        <w:jc w:val="center"/>
        <w:rPr>
          <w:rFonts w:ascii="宋体" w:eastAsia="宋体" w:cs="宋体"/>
          <w:b/>
          <w:sz w:val="36"/>
          <w:szCs w:val="36"/>
        </w:rPr>
      </w:pPr>
      <w:r>
        <w:rPr>
          <w:rFonts w:ascii="宋体" w:eastAsia="宋体" w:cs="宋体"/>
          <w:b/>
          <w:sz w:val="36"/>
          <w:szCs w:val="36"/>
        </w:rPr>
        <w:t>关于资格的声明函</w:t>
      </w:r>
    </w:p>
    <w:p>
      <w:pPr>
        <w:spacing w:line="360" w:lineRule="auto"/>
        <w:jc w:val="center"/>
        <w:rPr>
          <w:rFonts w:ascii="宋体" w:hAnsi="宋体" w:cs="宋体"/>
          <w:b/>
          <w:szCs w:val="21"/>
        </w:rPr>
      </w:pPr>
    </w:p>
    <w:p>
      <w:pPr>
        <w:pStyle w:val="20"/>
        <w:snapToGrid w:val="0"/>
        <w:spacing w:line="300" w:lineRule="auto"/>
        <w:rPr>
          <w:rFonts w:cs="仿宋_GB2312"/>
          <w:sz w:val="28"/>
          <w:szCs w:val="28"/>
          <w:u w:val="single"/>
        </w:rPr>
      </w:pPr>
      <w:r>
        <w:rPr>
          <w:rFonts w:hint="eastAsia" w:cs="仿宋_GB2312"/>
          <w:sz w:val="28"/>
          <w:szCs w:val="28"/>
          <w:u w:val="single"/>
        </w:rPr>
        <w:t>如东县气象局：</w:t>
      </w:r>
    </w:p>
    <w:p>
      <w:pPr>
        <w:pStyle w:val="20"/>
        <w:snapToGrid w:val="0"/>
        <w:spacing w:line="300" w:lineRule="auto"/>
        <w:ind w:firstLine="560" w:firstLineChars="200"/>
        <w:rPr>
          <w:rFonts w:cs="仿宋_GB2312"/>
          <w:sz w:val="28"/>
          <w:szCs w:val="28"/>
        </w:rPr>
      </w:pPr>
      <w:r>
        <w:rPr>
          <w:rFonts w:hint="eastAsia" w:cs="仿宋_GB2312"/>
          <w:sz w:val="28"/>
          <w:szCs w:val="28"/>
        </w:rPr>
        <w:t>我公司认真对照招标公告，符合贵方提出的资格要求，自愿报名参加投标，并保证提供的资料文件是准确的和真实的。提供虚假材料的愿意承担相应的法律责任。</w:t>
      </w:r>
    </w:p>
    <w:p>
      <w:pPr>
        <w:pStyle w:val="20"/>
        <w:widowControl w:val="0"/>
        <w:snapToGrid w:val="0"/>
        <w:spacing w:before="0" w:beforeAutospacing="0" w:after="0" w:afterAutospacing="0" w:line="300" w:lineRule="auto"/>
        <w:ind w:firstLine="280" w:firstLineChars="100"/>
        <w:jc w:val="both"/>
        <w:rPr>
          <w:rFonts w:cs="仿宋_GB2312"/>
          <w:sz w:val="28"/>
          <w:szCs w:val="28"/>
        </w:rPr>
      </w:pPr>
      <w:r>
        <w:rPr>
          <w:rFonts w:hint="eastAsia" w:cs="仿宋_GB2312"/>
          <w:kern w:val="2"/>
          <w:sz w:val="28"/>
          <w:szCs w:val="28"/>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20"/>
              <w:snapToGrid w:val="0"/>
              <w:spacing w:line="300" w:lineRule="auto"/>
              <w:jc w:val="center"/>
              <w:rPr>
                <w:rFonts w:cs="仿宋_GB2312"/>
                <w:b/>
                <w:kern w:val="2"/>
                <w:sz w:val="28"/>
                <w:szCs w:val="28"/>
              </w:rPr>
            </w:pPr>
            <w:r>
              <w:rPr>
                <w:rFonts w:hint="eastAsia" w:cs="仿宋_GB2312"/>
                <w:b/>
                <w:kern w:val="2"/>
                <w:sz w:val="28"/>
                <w:szCs w:val="28"/>
              </w:rPr>
              <w:t>时 间</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00" w:lineRule="auto"/>
              <w:jc w:val="center"/>
              <w:rPr>
                <w:rFonts w:cs="仿宋_GB2312"/>
                <w:b/>
                <w:kern w:val="2"/>
                <w:sz w:val="28"/>
                <w:szCs w:val="28"/>
              </w:rPr>
            </w:pPr>
            <w:r>
              <w:rPr>
                <w:rFonts w:hint="eastAsia" w:cs="仿宋_GB2312"/>
                <w:b/>
                <w:kern w:val="2"/>
                <w:sz w:val="28"/>
                <w:szCs w:val="28"/>
              </w:rPr>
              <w:t>受处理的原因</w:t>
            </w:r>
          </w:p>
          <w:p>
            <w:pPr>
              <w:pStyle w:val="20"/>
              <w:snapToGrid w:val="0"/>
              <w:spacing w:line="300" w:lineRule="auto"/>
              <w:jc w:val="center"/>
              <w:rPr>
                <w:rFonts w:cs="仿宋_GB2312"/>
                <w:kern w:val="2"/>
                <w:sz w:val="28"/>
                <w:szCs w:val="28"/>
              </w:rPr>
            </w:pPr>
            <w:r>
              <w:rPr>
                <w:rFonts w:hint="eastAsia" w:cs="仿宋_GB2312"/>
                <w:kern w:val="2"/>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snapToGrid w:val="0"/>
              <w:spacing w:line="300" w:lineRule="auto"/>
              <w:jc w:val="center"/>
              <w:rPr>
                <w:rFonts w:cs="仿宋_GB2312"/>
                <w:b/>
                <w:kern w:val="2"/>
                <w:sz w:val="28"/>
                <w:szCs w:val="28"/>
              </w:rPr>
            </w:pPr>
            <w:r>
              <w:rPr>
                <w:rFonts w:hint="eastAsia" w:cs="仿宋_GB2312"/>
                <w:b/>
                <w:kern w:val="2"/>
                <w:sz w:val="28"/>
                <w:szCs w:val="28"/>
              </w:rPr>
              <w:t>处理的内容</w:t>
            </w:r>
          </w:p>
          <w:p>
            <w:pPr>
              <w:pStyle w:val="20"/>
              <w:snapToGrid w:val="0"/>
              <w:spacing w:line="300" w:lineRule="auto"/>
              <w:jc w:val="center"/>
              <w:rPr>
                <w:rFonts w:cs="仿宋_GB2312"/>
                <w:kern w:val="2"/>
                <w:sz w:val="28"/>
                <w:szCs w:val="28"/>
              </w:rPr>
            </w:pPr>
            <w:r>
              <w:rPr>
                <w:rFonts w:hint="eastAsia" w:cs="仿宋_GB2312"/>
                <w:kern w:val="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pPr>
              <w:pStyle w:val="20"/>
              <w:snapToGrid w:val="0"/>
              <w:spacing w:line="300" w:lineRule="auto"/>
              <w:jc w:val="center"/>
              <w:rPr>
                <w:rFonts w:cs="仿宋_GB2312"/>
                <w:b/>
                <w:kern w:val="2"/>
                <w:sz w:val="28"/>
                <w:szCs w:val="28"/>
              </w:rPr>
            </w:pPr>
            <w:r>
              <w:rPr>
                <w:rFonts w:hint="eastAsia" w:cs="仿宋_GB2312"/>
                <w:b/>
                <w:kern w:val="2"/>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20"/>
              <w:snapToGrid w:val="0"/>
              <w:spacing w:line="300" w:lineRule="auto"/>
              <w:rPr>
                <w:rFonts w:cs="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pPr>
              <w:pStyle w:val="20"/>
              <w:snapToGrid w:val="0"/>
              <w:spacing w:line="300" w:lineRule="auto"/>
              <w:rPr>
                <w:rFonts w:cs="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pPr>
              <w:pStyle w:val="20"/>
              <w:snapToGrid w:val="0"/>
              <w:spacing w:line="300" w:lineRule="auto"/>
              <w:rPr>
                <w:rFonts w:cs="仿宋_GB2312"/>
                <w:kern w:val="2"/>
                <w:sz w:val="28"/>
                <w:szCs w:val="28"/>
              </w:rPr>
            </w:pPr>
          </w:p>
        </w:tc>
        <w:tc>
          <w:tcPr>
            <w:tcW w:w="1276" w:type="dxa"/>
            <w:tcBorders>
              <w:top w:val="single" w:color="auto" w:sz="4" w:space="0"/>
              <w:left w:val="single" w:color="auto" w:sz="4" w:space="0"/>
              <w:bottom w:val="single" w:color="auto" w:sz="4" w:space="0"/>
              <w:right w:val="single" w:color="auto" w:sz="4" w:space="0"/>
            </w:tcBorders>
          </w:tcPr>
          <w:p>
            <w:pPr>
              <w:pStyle w:val="20"/>
              <w:snapToGrid w:val="0"/>
              <w:spacing w:line="300" w:lineRule="auto"/>
              <w:rPr>
                <w:rFonts w:cs="仿宋_GB2312"/>
                <w:kern w:val="2"/>
                <w:sz w:val="28"/>
                <w:szCs w:val="28"/>
              </w:rPr>
            </w:pPr>
          </w:p>
        </w:tc>
      </w:tr>
    </w:tbl>
    <w:p>
      <w:pPr>
        <w:rPr>
          <w:rFonts w:ascii="宋体" w:hAnsi="宋体"/>
        </w:rPr>
      </w:pPr>
    </w:p>
    <w:p>
      <w:pPr>
        <w:pStyle w:val="20"/>
        <w:widowControl w:val="0"/>
        <w:spacing w:before="0" w:beforeAutospacing="0" w:after="0" w:afterAutospacing="0" w:line="560" w:lineRule="exact"/>
        <w:jc w:val="center"/>
        <w:rPr>
          <w:b/>
          <w:sz w:val="32"/>
          <w:szCs w:val="32"/>
        </w:rPr>
      </w:pPr>
      <w:r>
        <w:rPr>
          <w:rFonts w:hint="eastAsia" w:cs="黑体"/>
          <w:sz w:val="30"/>
          <w:szCs w:val="30"/>
          <w:lang w:val="en-GB"/>
        </w:rPr>
        <w:br w:type="page"/>
      </w:r>
      <w:r>
        <w:rPr>
          <w:rFonts w:hint="eastAsia"/>
          <w:b/>
          <w:kern w:val="2"/>
          <w:sz w:val="32"/>
          <w:szCs w:val="32"/>
          <w:lang w:bidi="ar"/>
        </w:rPr>
        <w:t>法定代表人身份证明</w:t>
      </w:r>
    </w:p>
    <w:p>
      <w:pPr>
        <w:spacing w:line="480" w:lineRule="exact"/>
        <w:rPr>
          <w:rFonts w:ascii="宋体" w:hAnsi="宋体"/>
          <w:sz w:val="24"/>
        </w:rPr>
      </w:pPr>
    </w:p>
    <w:p>
      <w:pPr>
        <w:spacing w:line="480" w:lineRule="exact"/>
        <w:ind w:firstLine="480" w:firstLineChars="200"/>
        <w:rPr>
          <w:rFonts w:ascii="宋体" w:hAnsi="宋体"/>
          <w:sz w:val="24"/>
        </w:rPr>
      </w:pPr>
      <w:r>
        <w:rPr>
          <w:rFonts w:ascii="宋体" w:hAnsi="宋体"/>
          <w:sz w:val="24"/>
          <w:highlight w:val="white"/>
          <w:u w:val="single"/>
          <w:lang w:bidi="ar"/>
        </w:rPr>
        <w:t xml:space="preserve">        </w:t>
      </w:r>
      <w:r>
        <w:rPr>
          <w:rFonts w:hint="eastAsia" w:ascii="宋体" w:hAnsi="宋体" w:cs="仿宋_GB2312"/>
          <w:sz w:val="24"/>
          <w:highlight w:val="white"/>
          <w:lang w:bidi="ar"/>
        </w:rPr>
        <w:t>先生</w:t>
      </w:r>
      <w:r>
        <w:rPr>
          <w:rFonts w:ascii="宋体" w:hAnsi="宋体"/>
          <w:sz w:val="24"/>
          <w:highlight w:val="white"/>
          <w:lang w:bidi="ar"/>
        </w:rPr>
        <w:t>/</w:t>
      </w:r>
      <w:r>
        <w:rPr>
          <w:rFonts w:hint="eastAsia" w:ascii="宋体" w:hAnsi="宋体" w:cs="仿宋_GB2312"/>
          <w:sz w:val="24"/>
          <w:highlight w:val="white"/>
          <w:lang w:bidi="ar"/>
        </w:rPr>
        <w:t>女士：</w:t>
      </w:r>
      <w:r>
        <w:rPr>
          <w:rFonts w:ascii="宋体" w:hAnsi="宋体"/>
          <w:sz w:val="24"/>
          <w:highlight w:val="white"/>
          <w:lang w:bidi="ar"/>
        </w:rPr>
        <w:t xml:space="preserve"> </w:t>
      </w:r>
      <w:r>
        <w:rPr>
          <w:rFonts w:hint="eastAsia" w:ascii="宋体" w:hAnsi="宋体" w:cs="仿宋_GB2312"/>
          <w:sz w:val="24"/>
          <w:highlight w:val="white"/>
          <w:lang w:bidi="ar"/>
        </w:rPr>
        <w:t>现任我单位</w:t>
      </w:r>
      <w:r>
        <w:rPr>
          <w:rFonts w:ascii="宋体" w:hAnsi="宋体"/>
          <w:sz w:val="24"/>
          <w:highlight w:val="white"/>
          <w:u w:val="single"/>
          <w:lang w:bidi="ar"/>
        </w:rPr>
        <w:t xml:space="preserve">        </w:t>
      </w:r>
      <w:r>
        <w:rPr>
          <w:rFonts w:hint="eastAsia" w:ascii="宋体" w:hAnsi="宋体" w:cs="仿宋_GB2312"/>
          <w:sz w:val="24"/>
          <w:highlight w:val="white"/>
          <w:lang w:bidi="ar"/>
        </w:rPr>
        <w:t>职务，为法定代表人，特此证明。</w:t>
      </w:r>
    </w:p>
    <w:p>
      <w:pPr>
        <w:spacing w:line="480" w:lineRule="exact"/>
        <w:ind w:firstLine="480"/>
        <w:rPr>
          <w:rFonts w:ascii="宋体" w:hAnsi="宋体"/>
          <w:sz w:val="24"/>
          <w:u w:val="single"/>
        </w:rPr>
      </w:pPr>
      <w:r>
        <w:rPr>
          <w:rFonts w:hint="eastAsia" w:ascii="宋体" w:hAnsi="宋体" w:cs="仿宋_GB2312"/>
          <w:sz w:val="24"/>
          <w:lang w:bidi="ar"/>
        </w:rPr>
        <w:t>身份证号码：</w:t>
      </w:r>
      <w:r>
        <w:rPr>
          <w:rFonts w:ascii="宋体" w:hAnsi="宋体"/>
          <w:sz w:val="24"/>
          <w:highlight w:val="white"/>
          <w:u w:val="single"/>
          <w:lang w:bidi="ar"/>
        </w:rPr>
        <w:t xml:space="preserve">                                               </w:t>
      </w:r>
    </w:p>
    <w:p>
      <w:pPr>
        <w:spacing w:line="480" w:lineRule="exact"/>
        <w:ind w:firstLine="480"/>
        <w:rPr>
          <w:rFonts w:ascii="宋体" w:hAnsi="宋体"/>
          <w:sz w:val="24"/>
        </w:rPr>
      </w:pPr>
    </w:p>
    <w:p>
      <w:pPr>
        <w:pStyle w:val="79"/>
        <w:widowControl/>
        <w:spacing w:line="600" w:lineRule="exact"/>
        <w:ind w:firstLine="482"/>
        <w:rPr>
          <w:rFonts w:ascii="宋体" w:hAnsi="宋体" w:cs="仿宋_GB2312"/>
          <w:b/>
          <w:sz w:val="24"/>
        </w:rPr>
      </w:pPr>
      <w:r>
        <w:rPr>
          <w:rFonts w:hint="eastAsia" w:ascii="宋体" w:hAnsi="宋体" w:cs="仿宋_GB2312"/>
          <w:b/>
          <w:sz w:val="24"/>
        </w:rPr>
        <w:t>注：提供法定代表人的身份证复印件盖公章</w:t>
      </w:r>
    </w:p>
    <w:p>
      <w:pPr>
        <w:spacing w:line="480" w:lineRule="exact"/>
        <w:ind w:firstLine="480" w:firstLineChars="200"/>
        <w:rPr>
          <w:rFonts w:ascii="宋体" w:hAnsi="宋体"/>
          <w:sz w:val="24"/>
        </w:rPr>
      </w:pPr>
    </w:p>
    <w:p>
      <w:pPr>
        <w:rPr>
          <w:rFonts w:ascii="宋体" w:hAnsi="宋体"/>
        </w:rPr>
      </w:pPr>
    </w:p>
    <w:p>
      <w:pPr>
        <w:pStyle w:val="102"/>
        <w:widowControl/>
        <w:spacing w:line="560" w:lineRule="exact"/>
        <w:jc w:val="center"/>
        <w:rPr>
          <w:rFonts w:ascii="宋体" w:hAnsi="宋体" w:cs="宋体"/>
          <w:b/>
          <w:sz w:val="32"/>
          <w:szCs w:val="32"/>
        </w:rPr>
      </w:pPr>
      <w:r>
        <w:rPr>
          <w:rFonts w:hint="eastAsia" w:ascii="宋体" w:hAnsi="宋体" w:cs="黑体"/>
          <w:sz w:val="30"/>
          <w:szCs w:val="30"/>
          <w:lang w:val="en-GB"/>
        </w:rPr>
        <w:br w:type="page"/>
      </w:r>
      <w:r>
        <w:rPr>
          <w:rFonts w:hint="eastAsia" w:ascii="宋体" w:hAnsi="宋体" w:cs="宋体"/>
          <w:b/>
          <w:sz w:val="32"/>
          <w:szCs w:val="32"/>
        </w:rPr>
        <w:t>授权委托书</w:t>
      </w:r>
    </w:p>
    <w:p>
      <w:pPr>
        <w:pStyle w:val="102"/>
        <w:widowControl/>
        <w:spacing w:line="600" w:lineRule="exact"/>
        <w:rPr>
          <w:rFonts w:ascii="宋体" w:hAnsi="宋体" w:cs="方正大标宋简体"/>
          <w:sz w:val="32"/>
        </w:rPr>
      </w:pPr>
    </w:p>
    <w:p>
      <w:pPr>
        <w:pStyle w:val="103"/>
        <w:widowControl/>
        <w:spacing w:line="360" w:lineRule="auto"/>
        <w:ind w:firstLine="560"/>
        <w:rPr>
          <w:rFonts w:ascii="宋体" w:hAnsi="宋体" w:cs="宋体"/>
          <w:szCs w:val="24"/>
        </w:rPr>
      </w:pPr>
      <w:r>
        <w:rPr>
          <w:rFonts w:hint="eastAsia" w:ascii="宋体" w:hAnsi="宋体" w:cs="宋体"/>
          <w:szCs w:val="24"/>
        </w:rPr>
        <w:t>本授权书声明：____________（供应商名称）授权________________（被授权人的姓名）为我方就项目采购活动的合法代理人，以本公司名义全权处理一切与该项目采购有关的事务。</w:t>
      </w:r>
    </w:p>
    <w:p>
      <w:pPr>
        <w:pStyle w:val="103"/>
        <w:widowControl/>
        <w:spacing w:line="360" w:lineRule="auto"/>
        <w:ind w:firstLine="560"/>
        <w:rPr>
          <w:rFonts w:ascii="宋体" w:hAnsi="宋体" w:cs="宋体"/>
          <w:szCs w:val="24"/>
        </w:rPr>
      </w:pPr>
      <w:r>
        <w:rPr>
          <w:rFonts w:hint="eastAsia" w:ascii="宋体" w:hAnsi="宋体" w:cs="宋体"/>
          <w:szCs w:val="24"/>
        </w:rPr>
        <w:t>本授权书于______年____月____日起生效，特此声明。</w:t>
      </w:r>
    </w:p>
    <w:p>
      <w:pPr>
        <w:pStyle w:val="103"/>
        <w:widowControl/>
        <w:spacing w:line="360" w:lineRule="auto"/>
        <w:ind w:firstLine="560"/>
        <w:rPr>
          <w:rFonts w:ascii="宋体" w:hAnsi="宋体" w:cs="宋体"/>
          <w:szCs w:val="24"/>
        </w:rPr>
      </w:pPr>
      <w:r>
        <w:rPr>
          <w:rFonts w:hint="eastAsia" w:ascii="宋体" w:hAnsi="宋体" w:cs="宋体"/>
          <w:szCs w:val="24"/>
        </w:rPr>
        <w:t xml:space="preserve">          代理人（被授权人）：_______________________</w:t>
      </w:r>
    </w:p>
    <w:p>
      <w:pPr>
        <w:pStyle w:val="103"/>
        <w:widowControl/>
        <w:spacing w:line="360" w:lineRule="auto"/>
        <w:ind w:firstLine="560"/>
        <w:rPr>
          <w:rFonts w:ascii="宋体" w:hAnsi="宋体" w:cs="宋体"/>
          <w:szCs w:val="24"/>
        </w:rPr>
      </w:pPr>
      <w:r>
        <w:rPr>
          <w:rFonts w:hint="eastAsia" w:ascii="宋体" w:hAnsi="宋体" w:cs="宋体"/>
          <w:szCs w:val="24"/>
        </w:rPr>
        <w:t xml:space="preserve">         </w:t>
      </w:r>
    </w:p>
    <w:p>
      <w:pPr>
        <w:pStyle w:val="103"/>
        <w:widowControl/>
        <w:spacing w:line="360" w:lineRule="auto"/>
        <w:ind w:firstLine="560"/>
        <w:rPr>
          <w:rFonts w:ascii="宋体" w:hAnsi="宋体" w:cs="宋体"/>
          <w:szCs w:val="24"/>
        </w:rPr>
      </w:pPr>
      <w:r>
        <w:rPr>
          <w:rFonts w:hint="eastAsia" w:ascii="宋体" w:hAnsi="宋体" w:cs="宋体"/>
          <w:szCs w:val="24"/>
        </w:rPr>
        <w:t xml:space="preserve">          单位名称：_____________________________________</w:t>
      </w:r>
    </w:p>
    <w:p>
      <w:pPr>
        <w:pStyle w:val="103"/>
        <w:widowControl/>
        <w:spacing w:line="360" w:lineRule="auto"/>
        <w:ind w:firstLine="560"/>
        <w:rPr>
          <w:rFonts w:ascii="宋体" w:hAnsi="宋体" w:cs="宋体"/>
          <w:szCs w:val="24"/>
        </w:rPr>
      </w:pPr>
      <w:r>
        <w:rPr>
          <w:rFonts w:hint="eastAsia" w:ascii="宋体" w:hAnsi="宋体" w:cs="宋体"/>
          <w:szCs w:val="24"/>
        </w:rPr>
        <w:t xml:space="preserve">         </w:t>
      </w:r>
    </w:p>
    <w:p>
      <w:pPr>
        <w:pStyle w:val="103"/>
        <w:widowControl/>
        <w:spacing w:line="360" w:lineRule="auto"/>
        <w:ind w:firstLine="560"/>
        <w:rPr>
          <w:rFonts w:ascii="宋体" w:hAnsi="宋体" w:cs="宋体"/>
          <w:szCs w:val="24"/>
        </w:rPr>
      </w:pPr>
      <w:r>
        <w:rPr>
          <w:rFonts w:hint="eastAsia" w:ascii="宋体" w:hAnsi="宋体" w:cs="宋体"/>
          <w:szCs w:val="24"/>
        </w:rPr>
        <w:t xml:space="preserve">          授权单位盖章：_________________________________</w:t>
      </w:r>
    </w:p>
    <w:p>
      <w:pPr>
        <w:pStyle w:val="103"/>
        <w:widowControl/>
        <w:spacing w:line="360" w:lineRule="auto"/>
        <w:ind w:firstLine="560"/>
        <w:rPr>
          <w:rFonts w:ascii="宋体" w:hAnsi="宋体" w:cs="宋体"/>
          <w:szCs w:val="24"/>
        </w:rPr>
      </w:pPr>
      <w:r>
        <w:rPr>
          <w:rFonts w:hint="eastAsia" w:ascii="宋体" w:hAnsi="宋体" w:cs="宋体"/>
          <w:szCs w:val="24"/>
        </w:rPr>
        <w:t xml:space="preserve">         </w:t>
      </w:r>
    </w:p>
    <w:p>
      <w:pPr>
        <w:pStyle w:val="103"/>
        <w:widowControl/>
        <w:spacing w:line="360" w:lineRule="auto"/>
        <w:ind w:firstLine="560"/>
        <w:rPr>
          <w:rFonts w:ascii="宋体" w:hAnsi="宋体" w:cs="宋体"/>
          <w:szCs w:val="24"/>
        </w:rPr>
      </w:pPr>
      <w:r>
        <w:rPr>
          <w:rFonts w:hint="eastAsia" w:ascii="宋体" w:hAnsi="宋体" w:cs="宋体"/>
          <w:szCs w:val="24"/>
        </w:rPr>
        <w:t xml:space="preserve">          单位名称：_____________________________________</w:t>
      </w:r>
    </w:p>
    <w:p>
      <w:pPr>
        <w:pStyle w:val="103"/>
        <w:widowControl/>
        <w:spacing w:line="360" w:lineRule="auto"/>
        <w:ind w:firstLine="560"/>
        <w:rPr>
          <w:rFonts w:ascii="宋体" w:hAnsi="宋体" w:cs="宋体"/>
          <w:szCs w:val="24"/>
        </w:rPr>
      </w:pPr>
      <w:r>
        <w:rPr>
          <w:rFonts w:hint="eastAsia" w:ascii="宋体" w:hAnsi="宋体" w:cs="宋体"/>
          <w:szCs w:val="24"/>
        </w:rPr>
        <w:t xml:space="preserve">         </w:t>
      </w:r>
    </w:p>
    <w:p>
      <w:pPr>
        <w:pStyle w:val="103"/>
        <w:widowControl/>
        <w:spacing w:line="360" w:lineRule="auto"/>
        <w:ind w:firstLine="560"/>
        <w:rPr>
          <w:rFonts w:ascii="宋体" w:hAnsi="宋体" w:cs="宋体"/>
          <w:szCs w:val="24"/>
        </w:rPr>
      </w:pPr>
      <w:r>
        <w:rPr>
          <w:rFonts w:hint="eastAsia" w:ascii="宋体" w:hAnsi="宋体" w:cs="宋体"/>
          <w:szCs w:val="24"/>
        </w:rPr>
        <w:t xml:space="preserve">          地址：_____________________________________</w:t>
      </w:r>
    </w:p>
    <w:p>
      <w:pPr>
        <w:pStyle w:val="103"/>
        <w:widowControl/>
        <w:spacing w:line="360" w:lineRule="auto"/>
        <w:ind w:firstLine="560"/>
        <w:rPr>
          <w:rFonts w:ascii="宋体" w:hAnsi="宋体" w:cs="宋体"/>
          <w:szCs w:val="24"/>
        </w:rPr>
      </w:pPr>
      <w:r>
        <w:rPr>
          <w:rFonts w:hint="eastAsia" w:ascii="宋体" w:hAnsi="宋体" w:cs="宋体"/>
          <w:szCs w:val="24"/>
        </w:rPr>
        <w:t xml:space="preserve">                                         </w:t>
      </w:r>
    </w:p>
    <w:p>
      <w:pPr>
        <w:pStyle w:val="103"/>
        <w:widowControl/>
        <w:spacing w:line="360" w:lineRule="auto"/>
        <w:ind w:firstLine="560"/>
        <w:rPr>
          <w:rFonts w:ascii="宋体" w:hAnsi="宋体" w:cs="宋体"/>
          <w:szCs w:val="24"/>
        </w:rPr>
      </w:pPr>
      <w:r>
        <w:rPr>
          <w:rFonts w:hint="eastAsia" w:ascii="宋体" w:hAnsi="宋体" w:cs="宋体"/>
          <w:szCs w:val="24"/>
        </w:rPr>
        <w:t xml:space="preserve">          日期：                    </w:t>
      </w:r>
    </w:p>
    <w:p>
      <w:pPr>
        <w:pStyle w:val="5"/>
        <w:spacing w:line="360" w:lineRule="auto"/>
        <w:rPr>
          <w:rFonts w:ascii="宋体" w:hAnsi="宋体"/>
          <w:b/>
        </w:rPr>
      </w:pPr>
    </w:p>
    <w:p>
      <w:pPr>
        <w:pStyle w:val="82"/>
        <w:spacing w:line="560" w:lineRule="atLeast"/>
        <w:jc w:val="center"/>
        <w:rPr>
          <w:rFonts w:ascii="宋体" w:hAnsi="宋体"/>
        </w:rPr>
      </w:pPr>
    </w:p>
    <w:p>
      <w:pPr>
        <w:pStyle w:val="82"/>
        <w:spacing w:line="560" w:lineRule="atLeast"/>
        <w:jc w:val="center"/>
        <w:rPr>
          <w:rFonts w:ascii="宋体" w:hAnsi="宋体"/>
        </w:rPr>
      </w:pPr>
    </w:p>
    <w:p>
      <w:pPr>
        <w:pStyle w:val="82"/>
        <w:spacing w:line="560" w:lineRule="atLeast"/>
        <w:jc w:val="center"/>
        <w:rPr>
          <w:rFonts w:ascii="宋体" w:hAnsi="宋体"/>
        </w:rPr>
      </w:pPr>
    </w:p>
    <w:p>
      <w:pPr>
        <w:pStyle w:val="82"/>
        <w:spacing w:line="560" w:lineRule="atLeast"/>
        <w:jc w:val="center"/>
        <w:rPr>
          <w:rFonts w:ascii="宋体" w:hAnsi="宋体"/>
        </w:rPr>
      </w:pPr>
    </w:p>
    <w:p>
      <w:pPr>
        <w:pStyle w:val="82"/>
        <w:spacing w:line="560" w:lineRule="atLeast"/>
        <w:jc w:val="center"/>
        <w:rPr>
          <w:rFonts w:ascii="宋体" w:hAnsi="宋体"/>
        </w:rPr>
      </w:pPr>
    </w:p>
    <w:p>
      <w:pPr>
        <w:pStyle w:val="82"/>
        <w:spacing w:line="560" w:lineRule="atLeast"/>
        <w:jc w:val="center"/>
        <w:rPr>
          <w:rFonts w:ascii="宋体" w:hAnsi="宋体"/>
        </w:rPr>
      </w:pPr>
    </w:p>
    <w:p>
      <w:pPr>
        <w:pStyle w:val="82"/>
        <w:spacing w:line="560" w:lineRule="atLeast"/>
        <w:jc w:val="center"/>
        <w:rPr>
          <w:rFonts w:ascii="宋体" w:hAnsi="宋体"/>
        </w:rPr>
      </w:pPr>
    </w:p>
    <w:p>
      <w:pPr>
        <w:pStyle w:val="82"/>
        <w:spacing w:line="560" w:lineRule="atLeast"/>
        <w:jc w:val="center"/>
        <w:rPr>
          <w:rFonts w:ascii="宋体" w:hAnsi="宋体"/>
        </w:rPr>
      </w:pPr>
    </w:p>
    <w:p>
      <w:pPr>
        <w:jc w:val="center"/>
        <w:rPr>
          <w:rFonts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pPr>
        <w:spacing w:line="460" w:lineRule="exact"/>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pPr>
        <w:spacing w:line="52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rPr>
        <w:t>________________ _</w:t>
      </w:r>
      <w:r>
        <w:rPr>
          <w:rFonts w:hint="eastAsia" w:ascii="宋体" w:hAnsi="宋体" w:cs="宋体"/>
          <w:bCs/>
          <w:color w:val="000000"/>
          <w:sz w:val="24"/>
          <w:szCs w:val="21"/>
        </w:rPr>
        <w:t>（项目名称），</w:t>
      </w:r>
      <w:r>
        <w:rPr>
          <w:rFonts w:hint="eastAsia" w:ascii="宋体" w:hAnsi="宋体" w:cs="宋体"/>
          <w:bCs/>
          <w:color w:val="000000"/>
          <w:sz w:val="24"/>
          <w:szCs w:val="21"/>
          <w:u w:val="single"/>
        </w:rPr>
        <w:t>_______ __________</w:t>
      </w:r>
      <w:r>
        <w:rPr>
          <w:rFonts w:hint="eastAsia" w:ascii="宋体" w:hAnsi="宋体" w:cs="宋体"/>
          <w:bCs/>
          <w:color w:val="000000"/>
          <w:sz w:val="24"/>
          <w:szCs w:val="21"/>
        </w:rPr>
        <w:t>（项目编号）投标活动。针对《中华人民共和国政府采购法》第二十二条规定做出如下声明：</w:t>
      </w:r>
    </w:p>
    <w:p>
      <w:pPr>
        <w:spacing w:line="520" w:lineRule="exact"/>
        <w:ind w:firstLine="482"/>
        <w:rPr>
          <w:rFonts w:ascii="宋体" w:hAnsi="宋体" w:cs="宋体"/>
          <w:color w:val="000000"/>
          <w:sz w:val="24"/>
        </w:rPr>
      </w:pPr>
      <w:r>
        <w:rPr>
          <w:rFonts w:hint="eastAsia" w:ascii="宋体" w:hAnsi="宋体" w:cs="宋体"/>
          <w:bCs/>
          <w:color w:val="000000"/>
          <w:sz w:val="24"/>
          <w:szCs w:val="21"/>
        </w:rPr>
        <w:t>1.我单位具有独立承担民事责任的能力；</w:t>
      </w:r>
    </w:p>
    <w:p>
      <w:pPr>
        <w:spacing w:line="520" w:lineRule="exact"/>
        <w:ind w:firstLine="482"/>
        <w:rPr>
          <w:rFonts w:ascii="宋体" w:hAnsi="宋体" w:cs="宋体"/>
          <w:color w:val="000000"/>
          <w:sz w:val="24"/>
        </w:rPr>
      </w:pPr>
      <w:r>
        <w:rPr>
          <w:rFonts w:hint="eastAsia" w:ascii="宋体" w:hAnsi="宋体" w:cs="宋体"/>
          <w:color w:val="000000"/>
          <w:sz w:val="24"/>
        </w:rPr>
        <w:t>2.我单位具有良好的商业信誉和健全的财务会计制度；</w:t>
      </w:r>
    </w:p>
    <w:p>
      <w:pPr>
        <w:spacing w:line="520" w:lineRule="exact"/>
        <w:ind w:firstLine="482"/>
        <w:rPr>
          <w:rFonts w:ascii="宋体" w:hAnsi="宋体" w:cs="宋体"/>
          <w:color w:val="000000"/>
          <w:sz w:val="24"/>
        </w:rPr>
      </w:pPr>
      <w:r>
        <w:rPr>
          <w:rFonts w:hint="eastAsia" w:ascii="宋体" w:hAnsi="宋体" w:cs="宋体"/>
          <w:color w:val="000000"/>
          <w:sz w:val="24"/>
        </w:rPr>
        <w:t>3.我单位具有履行合同所必需的设备和专业技术能力；</w:t>
      </w:r>
    </w:p>
    <w:p>
      <w:pPr>
        <w:spacing w:line="520" w:lineRule="exact"/>
        <w:ind w:firstLine="482"/>
        <w:rPr>
          <w:rFonts w:ascii="宋体" w:hAnsi="宋体" w:cs="宋体"/>
          <w:color w:val="000000"/>
          <w:sz w:val="24"/>
        </w:rPr>
      </w:pPr>
      <w:r>
        <w:rPr>
          <w:rFonts w:hint="eastAsia" w:ascii="宋体" w:hAnsi="宋体" w:cs="宋体"/>
          <w:color w:val="000000"/>
          <w:sz w:val="24"/>
        </w:rPr>
        <w:t>4.我单位有依法缴纳税收和社会保障资金的良好记录；</w:t>
      </w:r>
    </w:p>
    <w:p>
      <w:pPr>
        <w:spacing w:line="520" w:lineRule="exact"/>
        <w:ind w:firstLine="482"/>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宋体" w:hAnsi="宋体" w:cs="宋体"/>
          <w:color w:val="000000"/>
          <w:sz w:val="24"/>
        </w:rPr>
      </w:pPr>
      <w:r>
        <w:rPr>
          <w:rFonts w:hint="eastAsia" w:ascii="宋体" w:hAnsi="宋体" w:cs="宋体"/>
          <w:color w:val="000000"/>
          <w:sz w:val="24"/>
        </w:rPr>
        <w:t>6.我单位满足法律、行政法规规定的其他条件。</w:t>
      </w:r>
    </w:p>
    <w:p>
      <w:pPr>
        <w:spacing w:line="500" w:lineRule="exact"/>
        <w:ind w:firstLine="482"/>
        <w:rPr>
          <w:rFonts w:ascii="宋体" w:hAnsi="宋体" w:cs="宋体"/>
          <w:color w:val="000000"/>
          <w:sz w:val="24"/>
        </w:rPr>
      </w:pPr>
    </w:p>
    <w:p>
      <w:pPr>
        <w:spacing w:line="500" w:lineRule="exact"/>
        <w:rPr>
          <w:rFonts w:ascii="宋体" w:hAnsi="宋体" w:cs="宋体"/>
          <w:color w:val="000000"/>
          <w:sz w:val="24"/>
        </w:rPr>
      </w:pPr>
    </w:p>
    <w:p>
      <w:pPr>
        <w:spacing w:line="500" w:lineRule="exact"/>
        <w:rPr>
          <w:rFonts w:ascii="宋体" w:hAnsi="宋体" w:cs="宋体"/>
          <w:bCs/>
          <w:color w:val="000000"/>
          <w:sz w:val="24"/>
          <w:szCs w:val="21"/>
        </w:rPr>
      </w:pPr>
    </w:p>
    <w:p>
      <w:pPr>
        <w:spacing w:line="500" w:lineRule="exact"/>
        <w:rPr>
          <w:rFonts w:ascii="宋体" w:hAnsi="宋体" w:cs="宋体"/>
          <w:bCs/>
          <w:color w:val="000000"/>
          <w:sz w:val="24"/>
          <w:szCs w:val="21"/>
        </w:rPr>
      </w:pPr>
    </w:p>
    <w:p>
      <w:pPr>
        <w:spacing w:line="500" w:lineRule="exact"/>
        <w:rPr>
          <w:rFonts w:ascii="宋体" w:hAnsi="宋体" w:cs="宋体"/>
          <w:bCs/>
          <w:color w:val="000000"/>
          <w:sz w:val="24"/>
          <w:szCs w:val="21"/>
        </w:rPr>
      </w:pPr>
    </w:p>
    <w:p>
      <w:pPr>
        <w:spacing w:line="460" w:lineRule="exact"/>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pPr>
        <w:spacing w:line="460" w:lineRule="exact"/>
        <w:rPr>
          <w:rFonts w:ascii="宋体" w:hAnsi="宋体" w:cs="宋体"/>
          <w:bCs/>
          <w:color w:val="000000"/>
          <w:sz w:val="24"/>
          <w:szCs w:val="21"/>
        </w:rPr>
      </w:pPr>
    </w:p>
    <w:p>
      <w:pPr>
        <w:spacing w:line="360" w:lineRule="auto"/>
        <w:ind w:firstLine="6098" w:firstLineChars="2541"/>
        <w:rPr>
          <w:rFonts w:ascii="宋体" w:hAnsi="宋体" w:cs="宋体"/>
          <w:bCs/>
          <w:color w:val="000000"/>
          <w:sz w:val="24"/>
          <w:szCs w:val="21"/>
        </w:rPr>
      </w:pPr>
      <w:r>
        <w:rPr>
          <w:rFonts w:hint="eastAsia" w:ascii="宋体" w:hAnsi="宋体" w:cs="宋体"/>
          <w:bCs/>
          <w:color w:val="000000"/>
          <w:sz w:val="24"/>
          <w:szCs w:val="21"/>
        </w:rPr>
        <w:t>日期：</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pPr>
        <w:pStyle w:val="39"/>
        <w:rPr>
          <w:rFonts w:cs="宋体"/>
          <w:bCs/>
          <w:color w:val="000000"/>
          <w:sz w:val="24"/>
          <w:szCs w:val="21"/>
        </w:rPr>
      </w:pPr>
    </w:p>
    <w:p>
      <w:pPr>
        <w:pStyle w:val="39"/>
        <w:rPr>
          <w:rFonts w:cs="宋体"/>
          <w:bCs/>
          <w:color w:val="000000"/>
          <w:sz w:val="24"/>
          <w:szCs w:val="21"/>
        </w:rPr>
      </w:pPr>
    </w:p>
    <w:p>
      <w:pPr>
        <w:adjustRightInd w:val="0"/>
        <w:spacing w:line="360" w:lineRule="auto"/>
        <w:jc w:val="center"/>
        <w:rPr>
          <w:rFonts w:ascii="宋体" w:hAnsi="宋体"/>
          <w:sz w:val="32"/>
          <w:szCs w:val="32"/>
          <w:u w:val="single"/>
        </w:rPr>
      </w:pPr>
    </w:p>
    <w:p>
      <w:pPr>
        <w:adjustRightInd w:val="0"/>
        <w:spacing w:line="360" w:lineRule="auto"/>
        <w:jc w:val="center"/>
        <w:rPr>
          <w:rFonts w:ascii="宋体" w:hAnsi="宋体" w:cs="宋体"/>
          <w:sz w:val="32"/>
          <w:szCs w:val="32"/>
          <w:u w:val="single"/>
        </w:rPr>
      </w:pPr>
    </w:p>
    <w:p>
      <w:pPr>
        <w:spacing w:line="360" w:lineRule="auto"/>
        <w:jc w:val="center"/>
        <w:rPr>
          <w:rFonts w:ascii="宋体" w:hAnsi="宋体" w:cs="宋体"/>
          <w:sz w:val="32"/>
          <w:szCs w:val="32"/>
          <w:u w:val="single"/>
        </w:rPr>
      </w:pPr>
      <w:r>
        <w:rPr>
          <w:rFonts w:hint="eastAsia" w:ascii="宋体" w:hAnsi="宋体" w:cs="宋体"/>
          <w:sz w:val="32"/>
          <w:szCs w:val="32"/>
          <w:u w:val="single"/>
        </w:rPr>
        <w:t>如东</w:t>
      </w:r>
      <w:r>
        <w:rPr>
          <w:rFonts w:hint="eastAsia" w:ascii="宋体" w:hAnsi="宋体" w:cs="宋体"/>
          <w:sz w:val="32"/>
          <w:szCs w:val="32"/>
          <w:highlight w:val="none"/>
          <w:u w:val="single"/>
        </w:rPr>
        <w:t>区域自动气象站加密项目</w:t>
      </w:r>
    </w:p>
    <w:p>
      <w:pPr>
        <w:spacing w:line="360" w:lineRule="auto"/>
        <w:jc w:val="center"/>
        <w:rPr>
          <w:rFonts w:ascii="宋体" w:hAnsi="宋体"/>
          <w:sz w:val="28"/>
          <w:szCs w:val="28"/>
        </w:rPr>
      </w:pPr>
      <w:r>
        <w:rPr>
          <w:rFonts w:hint="eastAsia" w:ascii="宋体" w:hAnsi="宋体"/>
          <w:sz w:val="28"/>
          <w:szCs w:val="28"/>
        </w:rPr>
        <w:t>开标一览表</w:t>
      </w:r>
    </w:p>
    <w:p>
      <w:pPr>
        <w:spacing w:line="360" w:lineRule="auto"/>
      </w:pPr>
      <w:r>
        <w:rPr>
          <w:rFonts w:hint="eastAsia" w:ascii="宋体" w:hAnsi="宋体"/>
          <w:sz w:val="28"/>
          <w:szCs w:val="28"/>
        </w:rPr>
        <w:t>投标单位：（公章）</w:t>
      </w:r>
    </w:p>
    <w:tbl>
      <w:tblPr>
        <w:tblStyle w:val="23"/>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0"/>
        <w:gridCol w:w="2339"/>
        <w:gridCol w:w="2219"/>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680" w:type="dxa"/>
            <w:vAlign w:val="center"/>
          </w:tcPr>
          <w:p>
            <w:pPr>
              <w:jc w:val="center"/>
              <w:rPr>
                <w:rFonts w:ascii="宋体" w:hAnsi="宋体"/>
                <w:b/>
                <w:sz w:val="32"/>
                <w:szCs w:val="32"/>
              </w:rPr>
            </w:pPr>
            <w:r>
              <w:rPr>
                <w:rFonts w:hint="eastAsia" w:ascii="宋体" w:hAnsi="宋体"/>
                <w:b/>
                <w:sz w:val="32"/>
                <w:szCs w:val="32"/>
              </w:rPr>
              <w:t>项目名称</w:t>
            </w:r>
          </w:p>
        </w:tc>
        <w:tc>
          <w:tcPr>
            <w:tcW w:w="2265" w:type="dxa"/>
            <w:vAlign w:val="center"/>
          </w:tcPr>
          <w:p>
            <w:pPr>
              <w:jc w:val="center"/>
              <w:rPr>
                <w:rFonts w:ascii="宋体" w:hAnsi="宋体"/>
                <w:b/>
                <w:sz w:val="32"/>
                <w:szCs w:val="32"/>
              </w:rPr>
            </w:pPr>
            <w:r>
              <w:rPr>
                <w:rFonts w:hint="eastAsia" w:ascii="宋体" w:hAnsi="宋体"/>
                <w:b/>
                <w:sz w:val="32"/>
                <w:szCs w:val="32"/>
              </w:rPr>
              <w:t>最高限价</w:t>
            </w:r>
          </w:p>
          <w:p>
            <w:pPr>
              <w:jc w:val="center"/>
              <w:rPr>
                <w:rFonts w:ascii="宋体" w:hAnsi="宋体"/>
                <w:b/>
                <w:sz w:val="32"/>
                <w:szCs w:val="32"/>
              </w:rPr>
            </w:pPr>
            <w:r>
              <w:rPr>
                <w:rFonts w:hint="eastAsia" w:ascii="宋体" w:hAnsi="宋体"/>
                <w:b/>
                <w:sz w:val="32"/>
                <w:szCs w:val="32"/>
              </w:rPr>
              <w:t>（万元）</w:t>
            </w:r>
          </w:p>
        </w:tc>
        <w:tc>
          <w:tcPr>
            <w:tcW w:w="2149" w:type="dxa"/>
            <w:vAlign w:val="center"/>
          </w:tcPr>
          <w:p>
            <w:pPr>
              <w:jc w:val="center"/>
              <w:rPr>
                <w:rFonts w:ascii="宋体" w:hAnsi="宋体"/>
                <w:b/>
                <w:sz w:val="32"/>
                <w:szCs w:val="32"/>
              </w:rPr>
            </w:pPr>
            <w:r>
              <w:rPr>
                <w:rFonts w:hint="eastAsia" w:ascii="宋体" w:hAnsi="宋体"/>
                <w:b/>
                <w:sz w:val="32"/>
                <w:szCs w:val="32"/>
              </w:rPr>
              <w:t>投标报价</w:t>
            </w:r>
          </w:p>
          <w:p>
            <w:pPr>
              <w:jc w:val="center"/>
              <w:rPr>
                <w:rFonts w:ascii="宋体" w:hAnsi="宋体"/>
                <w:b/>
                <w:sz w:val="32"/>
                <w:szCs w:val="32"/>
              </w:rPr>
            </w:pPr>
            <w:r>
              <w:rPr>
                <w:rFonts w:hint="eastAsia" w:ascii="宋体" w:hAnsi="宋体"/>
                <w:b/>
                <w:sz w:val="32"/>
                <w:szCs w:val="32"/>
              </w:rPr>
              <w:t>（万元）</w:t>
            </w:r>
          </w:p>
        </w:tc>
        <w:tc>
          <w:tcPr>
            <w:tcW w:w="1444" w:type="dxa"/>
            <w:vAlign w:val="center"/>
          </w:tcPr>
          <w:p>
            <w:pPr>
              <w:jc w:val="center"/>
              <w:rPr>
                <w:rFonts w:ascii="宋体" w:hAnsi="宋体"/>
                <w:b/>
                <w:sz w:val="32"/>
                <w:szCs w:val="32"/>
              </w:rPr>
            </w:pPr>
            <w:r>
              <w:rPr>
                <w:rFonts w:hint="eastAsia" w:ascii="宋体" w:hAnsi="宋体"/>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3680" w:type="dxa"/>
            <w:vAlign w:val="center"/>
          </w:tcPr>
          <w:p>
            <w:pPr>
              <w:spacing w:line="360" w:lineRule="auto"/>
              <w:jc w:val="center"/>
              <w:rPr>
                <w:rFonts w:hint="eastAsia" w:ascii="宋体" w:hAnsi="宋体" w:cs="宋体"/>
                <w:sz w:val="32"/>
                <w:szCs w:val="32"/>
              </w:rPr>
            </w:pPr>
            <w:r>
              <w:rPr>
                <w:rFonts w:hint="eastAsia" w:ascii="宋体" w:hAnsi="宋体" w:cs="宋体"/>
                <w:sz w:val="32"/>
                <w:szCs w:val="32"/>
              </w:rPr>
              <w:t>如东区域自动气象站</w:t>
            </w:r>
          </w:p>
          <w:p>
            <w:pPr>
              <w:spacing w:line="360" w:lineRule="auto"/>
              <w:jc w:val="center"/>
              <w:rPr>
                <w:rFonts w:ascii="宋体" w:hAnsi="宋体"/>
                <w:bCs/>
                <w:sz w:val="30"/>
                <w:szCs w:val="30"/>
              </w:rPr>
            </w:pPr>
            <w:r>
              <w:rPr>
                <w:rFonts w:hint="eastAsia" w:ascii="宋体" w:hAnsi="宋体" w:cs="宋体"/>
                <w:sz w:val="32"/>
                <w:szCs w:val="32"/>
              </w:rPr>
              <w:t>加密项目</w:t>
            </w:r>
          </w:p>
        </w:tc>
        <w:tc>
          <w:tcPr>
            <w:tcW w:w="2265" w:type="dxa"/>
            <w:vAlign w:val="center"/>
          </w:tcPr>
          <w:p>
            <w:pPr>
              <w:spacing w:line="360" w:lineRule="auto"/>
              <w:jc w:val="center"/>
              <w:rPr>
                <w:bCs/>
              </w:rPr>
            </w:pPr>
            <w:r>
              <w:rPr>
                <w:rFonts w:hint="eastAsia" w:ascii="宋体" w:hAnsi="宋体" w:cs="宋体"/>
                <w:bCs/>
                <w:sz w:val="28"/>
                <w:szCs w:val="28"/>
              </w:rPr>
              <w:t>26</w:t>
            </w:r>
          </w:p>
        </w:tc>
        <w:tc>
          <w:tcPr>
            <w:tcW w:w="2149" w:type="dxa"/>
            <w:vAlign w:val="center"/>
          </w:tcPr>
          <w:p>
            <w:pPr>
              <w:spacing w:line="360" w:lineRule="auto"/>
              <w:jc w:val="center"/>
              <w:rPr>
                <w:rFonts w:ascii="宋体" w:hAnsi="宋体"/>
                <w:bCs/>
                <w:sz w:val="32"/>
                <w:szCs w:val="32"/>
              </w:rPr>
            </w:pPr>
          </w:p>
        </w:tc>
        <w:tc>
          <w:tcPr>
            <w:tcW w:w="1444" w:type="dxa"/>
            <w:vAlign w:val="center"/>
          </w:tcPr>
          <w:p>
            <w:pPr>
              <w:snapToGrid w:val="0"/>
              <w:spacing w:line="360" w:lineRule="auto"/>
              <w:ind w:firstLine="640" w:firstLineChars="200"/>
              <w:rPr>
                <w:rFonts w:ascii="宋体" w:hAnsi="宋体"/>
                <w:bCs/>
                <w:sz w:val="32"/>
                <w:szCs w:val="32"/>
              </w:rPr>
            </w:pPr>
          </w:p>
        </w:tc>
      </w:tr>
    </w:tbl>
    <w:p>
      <w:pPr>
        <w:widowControl/>
        <w:spacing w:before="60" w:after="60" w:line="360" w:lineRule="auto"/>
        <w:ind w:right="60"/>
        <w:rPr>
          <w:rFonts w:ascii="宋体" w:hAnsi="宋体"/>
          <w:sz w:val="24"/>
          <w:szCs w:val="24"/>
        </w:rPr>
      </w:pPr>
    </w:p>
    <w:p>
      <w:pPr>
        <w:widowControl/>
        <w:topLinePunct/>
        <w:snapToGrid w:val="0"/>
        <w:spacing w:before="4"/>
        <w:ind w:right="560"/>
        <w:jc w:val="center"/>
        <w:rPr>
          <w:rFonts w:ascii="宋体" w:hAnsi="宋体"/>
          <w:b/>
          <w:bCs/>
          <w:sz w:val="28"/>
          <w:szCs w:val="28"/>
        </w:rPr>
      </w:pPr>
      <w:r>
        <w:rPr>
          <w:rFonts w:hint="eastAsia" w:ascii="宋体" w:hAnsi="宋体"/>
          <w:bCs/>
          <w:sz w:val="28"/>
          <w:szCs w:val="28"/>
        </w:rPr>
        <w:t xml:space="preserve">         法定代表人（授权代表）签名</w:t>
      </w:r>
      <w:r>
        <w:rPr>
          <w:rFonts w:hint="eastAsia" w:ascii="宋体" w:hAnsi="宋体"/>
          <w:b/>
          <w:bCs/>
          <w:sz w:val="28"/>
          <w:szCs w:val="28"/>
        </w:rPr>
        <w:t>：</w:t>
      </w:r>
    </w:p>
    <w:p>
      <w:pPr>
        <w:widowControl/>
        <w:spacing w:before="60" w:after="60" w:line="360" w:lineRule="auto"/>
        <w:ind w:right="60" w:firstLine="5280" w:firstLineChars="2200"/>
        <w:rPr>
          <w:rFonts w:ascii="宋体" w:hAnsi="宋体"/>
          <w:sz w:val="24"/>
          <w:szCs w:val="24"/>
        </w:rPr>
      </w:pP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pPr>
        <w:pStyle w:val="2"/>
        <w:rPr>
          <w:rFonts w:ascii="宋体" w:hAnsi="宋体"/>
          <w:sz w:val="24"/>
          <w:szCs w:val="24"/>
        </w:rPr>
      </w:pPr>
    </w:p>
    <w:p>
      <w:pPr>
        <w:spacing w:line="360" w:lineRule="auto"/>
        <w:rPr>
          <w:rFonts w:ascii="宋体" w:hAnsi="宋体" w:cs="宋体"/>
          <w:b/>
          <w:sz w:val="28"/>
          <w:szCs w:val="28"/>
        </w:rPr>
      </w:pPr>
      <w:r>
        <w:rPr>
          <w:rFonts w:hint="eastAsia" w:ascii="宋体" w:hAnsi="宋体" w:cs="宋体"/>
          <w:b/>
          <w:sz w:val="28"/>
          <w:szCs w:val="28"/>
        </w:rPr>
        <w:t>以下内容为开标时填写：</w:t>
      </w:r>
    </w:p>
    <w:p>
      <w:pPr>
        <w:spacing w:line="360" w:lineRule="auto"/>
        <w:ind w:firstLine="562" w:firstLineChars="200"/>
        <w:rPr>
          <w:b/>
          <w:sz w:val="28"/>
          <w:szCs w:val="28"/>
        </w:rPr>
      </w:pPr>
      <w:r>
        <w:rPr>
          <w:rFonts w:hint="eastAsia"/>
          <w:b/>
          <w:sz w:val="28"/>
          <w:szCs w:val="28"/>
        </w:rPr>
        <w:t>现场最终报价为：</w:t>
      </w:r>
      <w:r>
        <w:rPr>
          <w:rFonts w:hint="eastAsia"/>
          <w:b/>
          <w:sz w:val="28"/>
          <w:szCs w:val="28"/>
          <w:u w:val="single"/>
        </w:rPr>
        <w:t xml:space="preserve">                 </w:t>
      </w:r>
      <w:r>
        <w:rPr>
          <w:rFonts w:hint="eastAsia"/>
          <w:b/>
          <w:sz w:val="28"/>
          <w:szCs w:val="28"/>
        </w:rPr>
        <w:t>万元</w:t>
      </w:r>
    </w:p>
    <w:p>
      <w:pPr>
        <w:spacing w:line="360" w:lineRule="auto"/>
        <w:ind w:firstLine="562" w:firstLineChars="200"/>
        <w:rPr>
          <w:b/>
          <w:sz w:val="28"/>
          <w:szCs w:val="28"/>
        </w:rPr>
      </w:pPr>
      <w:r>
        <w:rPr>
          <w:rFonts w:hint="eastAsia"/>
          <w:b/>
          <w:sz w:val="28"/>
          <w:szCs w:val="28"/>
        </w:rPr>
        <w:t>大写：</w:t>
      </w:r>
    </w:p>
    <w:p>
      <w:pPr>
        <w:spacing w:line="360" w:lineRule="auto"/>
        <w:ind w:firstLine="562" w:firstLineChars="200"/>
        <w:rPr>
          <w:b/>
          <w:sz w:val="28"/>
          <w:szCs w:val="28"/>
        </w:rPr>
      </w:pPr>
      <w:r>
        <w:rPr>
          <w:rFonts w:hint="eastAsia"/>
          <w:b/>
          <w:sz w:val="28"/>
          <w:szCs w:val="28"/>
        </w:rPr>
        <w:t>小写：</w:t>
      </w:r>
    </w:p>
    <w:p>
      <w:pPr>
        <w:spacing w:line="360" w:lineRule="auto"/>
        <w:ind w:firstLine="562" w:firstLineChars="200"/>
        <w:rPr>
          <w:b/>
          <w:sz w:val="28"/>
          <w:szCs w:val="28"/>
        </w:rPr>
      </w:pPr>
      <w:r>
        <w:rPr>
          <w:rFonts w:hint="eastAsia"/>
          <w:b/>
          <w:sz w:val="28"/>
          <w:szCs w:val="28"/>
        </w:rPr>
        <w:t>签字：</w:t>
      </w:r>
    </w:p>
    <w:p>
      <w:pPr>
        <w:spacing w:line="360" w:lineRule="auto"/>
        <w:ind w:firstLine="562" w:firstLineChars="200"/>
        <w:rPr>
          <w:b/>
          <w:sz w:val="28"/>
          <w:szCs w:val="28"/>
        </w:rPr>
      </w:pPr>
      <w:r>
        <w:rPr>
          <w:rFonts w:hint="eastAsia"/>
          <w:b/>
          <w:sz w:val="28"/>
          <w:szCs w:val="28"/>
        </w:rPr>
        <w:t>日期：         年      月      日</w:t>
      </w:r>
    </w:p>
    <w:p>
      <w:pPr>
        <w:pStyle w:val="2"/>
        <w:rPr>
          <w:rFonts w:ascii="宋体" w:hAnsi="宋体"/>
          <w:sz w:val="24"/>
          <w:szCs w:val="24"/>
        </w:rPr>
      </w:pPr>
    </w:p>
    <w:p>
      <w:pPr>
        <w:pStyle w:val="39"/>
        <w:rPr>
          <w:rFonts w:cs="宋体"/>
          <w:bCs/>
          <w:color w:val="000000"/>
          <w:sz w:val="24"/>
          <w:szCs w:val="21"/>
        </w:rPr>
      </w:pPr>
    </w:p>
    <w:sectPr>
      <w:headerReference r:id="rId3" w:type="default"/>
      <w:footerReference r:id="rId4" w:type="default"/>
      <w:pgSz w:w="11906" w:h="16838"/>
      <w:pgMar w:top="1134"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1B4005-9890-47F9-9DA8-ED18407517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409C64C-49CB-4500-9D35-B10ACCF22FA0}"/>
  </w:font>
  <w:font w:name="仿宋">
    <w:panose1 w:val="02010609060101010101"/>
    <w:charset w:val="86"/>
    <w:family w:val="modern"/>
    <w:pitch w:val="default"/>
    <w:sig w:usb0="800002BF" w:usb1="38CF7CFA" w:usb2="00000016" w:usb3="00000000" w:csb0="00040001" w:csb1="00000000"/>
    <w:embedRegular r:id="rId3" w:fontKey="{3B8FED36-E325-4B2D-BAF5-E5C1006133EA}"/>
  </w:font>
  <w:font w:name="Tahoma">
    <w:panose1 w:val="020B0604030504040204"/>
    <w:charset w:val="00"/>
    <w:family w:val="swiss"/>
    <w:pitch w:val="default"/>
    <w:sig w:usb0="E1002EFF" w:usb1="C000605B" w:usb2="00000029" w:usb3="00000000" w:csb0="200101FF" w:csb1="20280000"/>
  </w:font>
  <w:font w:name="方正大标宋简体">
    <w:panose1 w:val="02010601030101010101"/>
    <w:charset w:val="86"/>
    <w:family w:val="auto"/>
    <w:pitch w:val="default"/>
    <w:sig w:usb0="00000001" w:usb1="080E0000" w:usb2="00000000" w:usb3="00000000" w:csb0="00040000" w:csb1="00000000"/>
    <w:embedRegular r:id="rId4" w:fontKey="{A1ABFF68-BFE7-4337-B283-468899651415}"/>
  </w:font>
  <w:font w:name="楷体_GB2312">
    <w:altName w:val="楷体"/>
    <w:panose1 w:val="02010609030101010101"/>
    <w:charset w:val="86"/>
    <w:family w:val="modern"/>
    <w:pitch w:val="default"/>
    <w:sig w:usb0="00000000" w:usb1="00000000" w:usb2="00000010" w:usb3="00000000" w:csb0="00040000" w:csb1="00000000"/>
    <w:embedRegular r:id="rId5" w:fontKey="{38AE0CB4-5D6B-4DE5-BBD8-0904DA40B5D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27"/>
        <w:rFonts w:hint="eastAsia"/>
      </w:rPr>
      <w:t xml:space="preserve">第 </w:t>
    </w:r>
    <w:r>
      <w:rPr>
        <w:rFonts w:hint="eastAsia"/>
      </w:rPr>
      <w:fldChar w:fldCharType="begin"/>
    </w:r>
    <w:r>
      <w:rPr>
        <w:rStyle w:val="27"/>
        <w:rFonts w:hint="eastAsia"/>
      </w:rPr>
      <w:instrText xml:space="preserve"> PAGE  \* MERGEFORMAT </w:instrText>
    </w:r>
    <w:r>
      <w:rPr>
        <w:rFonts w:hint="eastAsia"/>
      </w:rPr>
      <w:fldChar w:fldCharType="separate"/>
    </w:r>
    <w:r>
      <w:t>2</w:t>
    </w:r>
    <w:r>
      <w:rPr>
        <w:rFonts w:hint="eastAsia"/>
      </w:rPr>
      <w:fldChar w:fldCharType="end"/>
    </w:r>
    <w:r>
      <w:rPr>
        <w:rStyle w:val="27"/>
        <w:rFonts w:hint="eastAsia"/>
      </w:rPr>
      <w:t xml:space="preserve"> 页 共 </w:t>
    </w:r>
    <w:r>
      <w:rPr>
        <w:rFonts w:hint="eastAsia"/>
      </w:rPr>
      <w:fldChar w:fldCharType="begin"/>
    </w:r>
    <w:r>
      <w:rPr>
        <w:rStyle w:val="27"/>
        <w:rFonts w:hint="eastAsia"/>
      </w:rPr>
      <w:instrText xml:space="preserve"> NUMPAGES  \* MERGEFORMAT </w:instrText>
    </w:r>
    <w:r>
      <w:rPr>
        <w:rFonts w:hint="eastAsia"/>
      </w:rPr>
      <w:fldChar w:fldCharType="separate"/>
    </w:r>
    <w:r>
      <w:rPr>
        <w:rStyle w:val="27"/>
      </w:rPr>
      <w:t>24</w:t>
    </w:r>
    <w:r>
      <w:rPr>
        <w:rFonts w:hint="eastAsia"/>
      </w:rPr>
      <w:fldChar w:fldCharType="end"/>
    </w:r>
    <w:r>
      <w:rPr>
        <w:rStyle w:val="27"/>
        <w:rFonts w:hint="eastAsia"/>
      </w:rPr>
      <w:t xml:space="preserve"> 页</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E7F37"/>
    <w:multiLevelType w:val="singleLevel"/>
    <w:tmpl w:val="D84E7F37"/>
    <w:lvl w:ilvl="0" w:tentative="0">
      <w:start w:val="2"/>
      <w:numFmt w:val="chineseCounting"/>
      <w:pStyle w:val="68"/>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WFmZWIzNWIzNDU5YzA2NTAwNmUyYTQ5YzU5YjIifQ=="/>
  </w:docVars>
  <w:rsids>
    <w:rsidRoot w:val="00172A27"/>
    <w:rsid w:val="00001014"/>
    <w:rsid w:val="000172F6"/>
    <w:rsid w:val="000342BA"/>
    <w:rsid w:val="000406A8"/>
    <w:rsid w:val="00042884"/>
    <w:rsid w:val="0004591C"/>
    <w:rsid w:val="00046974"/>
    <w:rsid w:val="00050608"/>
    <w:rsid w:val="00052279"/>
    <w:rsid w:val="00055C88"/>
    <w:rsid w:val="00062725"/>
    <w:rsid w:val="00076A67"/>
    <w:rsid w:val="00076F8C"/>
    <w:rsid w:val="00077873"/>
    <w:rsid w:val="00084011"/>
    <w:rsid w:val="00095B2A"/>
    <w:rsid w:val="000964E5"/>
    <w:rsid w:val="000A2342"/>
    <w:rsid w:val="000A2F9A"/>
    <w:rsid w:val="000A373E"/>
    <w:rsid w:val="000A46C8"/>
    <w:rsid w:val="000B3010"/>
    <w:rsid w:val="000C0F49"/>
    <w:rsid w:val="000C2494"/>
    <w:rsid w:val="000C3789"/>
    <w:rsid w:val="000C62B0"/>
    <w:rsid w:val="000C75B6"/>
    <w:rsid w:val="000E0F40"/>
    <w:rsid w:val="000F0E7F"/>
    <w:rsid w:val="000F6DF6"/>
    <w:rsid w:val="000F7005"/>
    <w:rsid w:val="00102C94"/>
    <w:rsid w:val="00105019"/>
    <w:rsid w:val="0010586F"/>
    <w:rsid w:val="00106BE7"/>
    <w:rsid w:val="0011017D"/>
    <w:rsid w:val="00111A47"/>
    <w:rsid w:val="00113287"/>
    <w:rsid w:val="00113BA2"/>
    <w:rsid w:val="00114467"/>
    <w:rsid w:val="00115D0D"/>
    <w:rsid w:val="00122C42"/>
    <w:rsid w:val="00122E60"/>
    <w:rsid w:val="00131335"/>
    <w:rsid w:val="001373BC"/>
    <w:rsid w:val="00153031"/>
    <w:rsid w:val="0016117D"/>
    <w:rsid w:val="00165043"/>
    <w:rsid w:val="00165194"/>
    <w:rsid w:val="00171015"/>
    <w:rsid w:val="00172A27"/>
    <w:rsid w:val="0017404F"/>
    <w:rsid w:val="001777A1"/>
    <w:rsid w:val="00183484"/>
    <w:rsid w:val="001923F6"/>
    <w:rsid w:val="001A1236"/>
    <w:rsid w:val="001A49F7"/>
    <w:rsid w:val="001A7A46"/>
    <w:rsid w:val="001B085C"/>
    <w:rsid w:val="001B69B7"/>
    <w:rsid w:val="001B75DF"/>
    <w:rsid w:val="001C38D3"/>
    <w:rsid w:val="001C4FD2"/>
    <w:rsid w:val="001C5011"/>
    <w:rsid w:val="001C7797"/>
    <w:rsid w:val="001D40E0"/>
    <w:rsid w:val="001D7184"/>
    <w:rsid w:val="001E111B"/>
    <w:rsid w:val="001E45AD"/>
    <w:rsid w:val="001F056C"/>
    <w:rsid w:val="001F141D"/>
    <w:rsid w:val="001F741F"/>
    <w:rsid w:val="00201F95"/>
    <w:rsid w:val="0020372D"/>
    <w:rsid w:val="0021094B"/>
    <w:rsid w:val="0021337F"/>
    <w:rsid w:val="00214076"/>
    <w:rsid w:val="0021409E"/>
    <w:rsid w:val="00215D70"/>
    <w:rsid w:val="00221748"/>
    <w:rsid w:val="00222756"/>
    <w:rsid w:val="0022500B"/>
    <w:rsid w:val="00225BCB"/>
    <w:rsid w:val="0023086C"/>
    <w:rsid w:val="00231D5D"/>
    <w:rsid w:val="00244CE8"/>
    <w:rsid w:val="00252602"/>
    <w:rsid w:val="00252D25"/>
    <w:rsid w:val="0025461F"/>
    <w:rsid w:val="0026141F"/>
    <w:rsid w:val="0026167B"/>
    <w:rsid w:val="00266515"/>
    <w:rsid w:val="00267070"/>
    <w:rsid w:val="00267CE4"/>
    <w:rsid w:val="0027038E"/>
    <w:rsid w:val="00272AF1"/>
    <w:rsid w:val="00272F95"/>
    <w:rsid w:val="00280090"/>
    <w:rsid w:val="00283391"/>
    <w:rsid w:val="002A13EE"/>
    <w:rsid w:val="002A722F"/>
    <w:rsid w:val="002B27FF"/>
    <w:rsid w:val="002B3BD3"/>
    <w:rsid w:val="002C0B3D"/>
    <w:rsid w:val="002C17B4"/>
    <w:rsid w:val="002C37F0"/>
    <w:rsid w:val="002C3FD4"/>
    <w:rsid w:val="002C5AAC"/>
    <w:rsid w:val="002C5E4E"/>
    <w:rsid w:val="002C5EAD"/>
    <w:rsid w:val="002D16C8"/>
    <w:rsid w:val="002E06DD"/>
    <w:rsid w:val="002E3D92"/>
    <w:rsid w:val="002F0CD4"/>
    <w:rsid w:val="002F71F1"/>
    <w:rsid w:val="003054EF"/>
    <w:rsid w:val="00307610"/>
    <w:rsid w:val="003113C0"/>
    <w:rsid w:val="0031238A"/>
    <w:rsid w:val="00315F35"/>
    <w:rsid w:val="00316221"/>
    <w:rsid w:val="00323604"/>
    <w:rsid w:val="00331DC4"/>
    <w:rsid w:val="00335754"/>
    <w:rsid w:val="00347AD7"/>
    <w:rsid w:val="00354415"/>
    <w:rsid w:val="00355DE3"/>
    <w:rsid w:val="00355ED9"/>
    <w:rsid w:val="00361ED9"/>
    <w:rsid w:val="00363840"/>
    <w:rsid w:val="0036418B"/>
    <w:rsid w:val="0037013C"/>
    <w:rsid w:val="00376CBC"/>
    <w:rsid w:val="00382325"/>
    <w:rsid w:val="003A2B4D"/>
    <w:rsid w:val="003A7CAA"/>
    <w:rsid w:val="003B0488"/>
    <w:rsid w:val="003B6BAF"/>
    <w:rsid w:val="003C31A5"/>
    <w:rsid w:val="003C453D"/>
    <w:rsid w:val="003C64F1"/>
    <w:rsid w:val="003D0FD4"/>
    <w:rsid w:val="003D69CA"/>
    <w:rsid w:val="003E57D9"/>
    <w:rsid w:val="003F1B4A"/>
    <w:rsid w:val="003F2B8D"/>
    <w:rsid w:val="003F3506"/>
    <w:rsid w:val="0040027E"/>
    <w:rsid w:val="00406AA0"/>
    <w:rsid w:val="004116F4"/>
    <w:rsid w:val="00416E43"/>
    <w:rsid w:val="00423811"/>
    <w:rsid w:val="00425CD9"/>
    <w:rsid w:val="004441F1"/>
    <w:rsid w:val="00453BA1"/>
    <w:rsid w:val="00457EE0"/>
    <w:rsid w:val="00457F42"/>
    <w:rsid w:val="0046088C"/>
    <w:rsid w:val="0046664F"/>
    <w:rsid w:val="00473B0A"/>
    <w:rsid w:val="004740D6"/>
    <w:rsid w:val="00474F36"/>
    <w:rsid w:val="00476DF3"/>
    <w:rsid w:val="004800A3"/>
    <w:rsid w:val="0049339B"/>
    <w:rsid w:val="004947B7"/>
    <w:rsid w:val="00494F95"/>
    <w:rsid w:val="004B1EC5"/>
    <w:rsid w:val="004B6459"/>
    <w:rsid w:val="004C05C9"/>
    <w:rsid w:val="004C705A"/>
    <w:rsid w:val="004D0C34"/>
    <w:rsid w:val="004D1387"/>
    <w:rsid w:val="004D3B3C"/>
    <w:rsid w:val="004D46BA"/>
    <w:rsid w:val="004D47E2"/>
    <w:rsid w:val="004E0413"/>
    <w:rsid w:val="004E26EF"/>
    <w:rsid w:val="004E479C"/>
    <w:rsid w:val="004E66B4"/>
    <w:rsid w:val="004F1185"/>
    <w:rsid w:val="004F14A9"/>
    <w:rsid w:val="004F20C5"/>
    <w:rsid w:val="0050122D"/>
    <w:rsid w:val="0050677B"/>
    <w:rsid w:val="0051536C"/>
    <w:rsid w:val="00516DAB"/>
    <w:rsid w:val="00517D1F"/>
    <w:rsid w:val="00530682"/>
    <w:rsid w:val="00531824"/>
    <w:rsid w:val="00531A96"/>
    <w:rsid w:val="005321E9"/>
    <w:rsid w:val="0053448A"/>
    <w:rsid w:val="00537242"/>
    <w:rsid w:val="00540DCB"/>
    <w:rsid w:val="00541014"/>
    <w:rsid w:val="00546B8A"/>
    <w:rsid w:val="00547AE9"/>
    <w:rsid w:val="0055310B"/>
    <w:rsid w:val="00557822"/>
    <w:rsid w:val="005626B7"/>
    <w:rsid w:val="00564444"/>
    <w:rsid w:val="005663D4"/>
    <w:rsid w:val="0057174D"/>
    <w:rsid w:val="0058396B"/>
    <w:rsid w:val="005866BB"/>
    <w:rsid w:val="005902DF"/>
    <w:rsid w:val="005974BC"/>
    <w:rsid w:val="005A48B3"/>
    <w:rsid w:val="005A4F21"/>
    <w:rsid w:val="005B05F0"/>
    <w:rsid w:val="005C1E24"/>
    <w:rsid w:val="005C24EA"/>
    <w:rsid w:val="005C2FBB"/>
    <w:rsid w:val="005C6305"/>
    <w:rsid w:val="005D36A2"/>
    <w:rsid w:val="005F77AB"/>
    <w:rsid w:val="0060379F"/>
    <w:rsid w:val="00603E39"/>
    <w:rsid w:val="006138DE"/>
    <w:rsid w:val="006344EA"/>
    <w:rsid w:val="00635625"/>
    <w:rsid w:val="00641D5A"/>
    <w:rsid w:val="00644AE0"/>
    <w:rsid w:val="00652FB0"/>
    <w:rsid w:val="0066263E"/>
    <w:rsid w:val="006641BD"/>
    <w:rsid w:val="006714E0"/>
    <w:rsid w:val="00676B40"/>
    <w:rsid w:val="00681FFC"/>
    <w:rsid w:val="00684629"/>
    <w:rsid w:val="006860CC"/>
    <w:rsid w:val="006908AA"/>
    <w:rsid w:val="0069400A"/>
    <w:rsid w:val="006941F6"/>
    <w:rsid w:val="006967E8"/>
    <w:rsid w:val="00696A20"/>
    <w:rsid w:val="006A20DE"/>
    <w:rsid w:val="006A30FF"/>
    <w:rsid w:val="006A3A15"/>
    <w:rsid w:val="006A6787"/>
    <w:rsid w:val="006A7859"/>
    <w:rsid w:val="006B098A"/>
    <w:rsid w:val="006B4D1B"/>
    <w:rsid w:val="006C0904"/>
    <w:rsid w:val="006C5C34"/>
    <w:rsid w:val="006D0B77"/>
    <w:rsid w:val="006D35B1"/>
    <w:rsid w:val="006E39EE"/>
    <w:rsid w:val="006E4C7F"/>
    <w:rsid w:val="006E535B"/>
    <w:rsid w:val="006F1C7D"/>
    <w:rsid w:val="006F2390"/>
    <w:rsid w:val="006F3D25"/>
    <w:rsid w:val="006F4DD3"/>
    <w:rsid w:val="006F7E85"/>
    <w:rsid w:val="00702778"/>
    <w:rsid w:val="0070526E"/>
    <w:rsid w:val="00710802"/>
    <w:rsid w:val="0071545C"/>
    <w:rsid w:val="00715A37"/>
    <w:rsid w:val="00716C05"/>
    <w:rsid w:val="00722EF7"/>
    <w:rsid w:val="00724264"/>
    <w:rsid w:val="007326AA"/>
    <w:rsid w:val="00732993"/>
    <w:rsid w:val="00736E0C"/>
    <w:rsid w:val="00737EE2"/>
    <w:rsid w:val="00743EFA"/>
    <w:rsid w:val="00744661"/>
    <w:rsid w:val="00746AD4"/>
    <w:rsid w:val="00747BD9"/>
    <w:rsid w:val="00755520"/>
    <w:rsid w:val="00755E28"/>
    <w:rsid w:val="00762E24"/>
    <w:rsid w:val="00765C24"/>
    <w:rsid w:val="00780BB2"/>
    <w:rsid w:val="00782FC7"/>
    <w:rsid w:val="0078581E"/>
    <w:rsid w:val="0078667C"/>
    <w:rsid w:val="007876DC"/>
    <w:rsid w:val="00797713"/>
    <w:rsid w:val="007A23CF"/>
    <w:rsid w:val="007A2798"/>
    <w:rsid w:val="007A3B0C"/>
    <w:rsid w:val="007A6BA4"/>
    <w:rsid w:val="007B0747"/>
    <w:rsid w:val="007B30D0"/>
    <w:rsid w:val="007D14CF"/>
    <w:rsid w:val="007D1796"/>
    <w:rsid w:val="007D32BD"/>
    <w:rsid w:val="007D4826"/>
    <w:rsid w:val="007D4877"/>
    <w:rsid w:val="007D6CD0"/>
    <w:rsid w:val="007E4958"/>
    <w:rsid w:val="007E527B"/>
    <w:rsid w:val="007F4014"/>
    <w:rsid w:val="007F77C3"/>
    <w:rsid w:val="0080298B"/>
    <w:rsid w:val="00820369"/>
    <w:rsid w:val="00820D94"/>
    <w:rsid w:val="00824165"/>
    <w:rsid w:val="00824BBE"/>
    <w:rsid w:val="00825E1B"/>
    <w:rsid w:val="008335D1"/>
    <w:rsid w:val="00833943"/>
    <w:rsid w:val="00834204"/>
    <w:rsid w:val="00846BFA"/>
    <w:rsid w:val="00846E9B"/>
    <w:rsid w:val="00846F3A"/>
    <w:rsid w:val="0085126E"/>
    <w:rsid w:val="0085549A"/>
    <w:rsid w:val="00857C4D"/>
    <w:rsid w:val="008627F2"/>
    <w:rsid w:val="00871646"/>
    <w:rsid w:val="008717EE"/>
    <w:rsid w:val="008739E9"/>
    <w:rsid w:val="008819BA"/>
    <w:rsid w:val="00881BB7"/>
    <w:rsid w:val="00885FCA"/>
    <w:rsid w:val="00887317"/>
    <w:rsid w:val="008914CC"/>
    <w:rsid w:val="008923C7"/>
    <w:rsid w:val="00894648"/>
    <w:rsid w:val="00896206"/>
    <w:rsid w:val="008964AE"/>
    <w:rsid w:val="00896B67"/>
    <w:rsid w:val="00897980"/>
    <w:rsid w:val="008A1642"/>
    <w:rsid w:val="008A1C93"/>
    <w:rsid w:val="008A48AA"/>
    <w:rsid w:val="008A7E34"/>
    <w:rsid w:val="008B2874"/>
    <w:rsid w:val="008B58C8"/>
    <w:rsid w:val="008C2635"/>
    <w:rsid w:val="008C3376"/>
    <w:rsid w:val="008C5496"/>
    <w:rsid w:val="008D055F"/>
    <w:rsid w:val="008D68A2"/>
    <w:rsid w:val="008D78E1"/>
    <w:rsid w:val="008E2BA7"/>
    <w:rsid w:val="008E34A6"/>
    <w:rsid w:val="008F0964"/>
    <w:rsid w:val="008F2123"/>
    <w:rsid w:val="008F7E56"/>
    <w:rsid w:val="00915226"/>
    <w:rsid w:val="009327E9"/>
    <w:rsid w:val="0093339C"/>
    <w:rsid w:val="00934142"/>
    <w:rsid w:val="009414C6"/>
    <w:rsid w:val="009502BE"/>
    <w:rsid w:val="009506CE"/>
    <w:rsid w:val="00952EB6"/>
    <w:rsid w:val="00953786"/>
    <w:rsid w:val="009637D9"/>
    <w:rsid w:val="0096622B"/>
    <w:rsid w:val="00971A81"/>
    <w:rsid w:val="009736DD"/>
    <w:rsid w:val="00973D55"/>
    <w:rsid w:val="0098525A"/>
    <w:rsid w:val="009863E6"/>
    <w:rsid w:val="00987374"/>
    <w:rsid w:val="00990734"/>
    <w:rsid w:val="00990AAF"/>
    <w:rsid w:val="00993ED9"/>
    <w:rsid w:val="0099439A"/>
    <w:rsid w:val="00995C9A"/>
    <w:rsid w:val="009A0CDF"/>
    <w:rsid w:val="009A2501"/>
    <w:rsid w:val="009A6295"/>
    <w:rsid w:val="009C4DF5"/>
    <w:rsid w:val="009C5254"/>
    <w:rsid w:val="009C6E5A"/>
    <w:rsid w:val="009D3B70"/>
    <w:rsid w:val="009D51C5"/>
    <w:rsid w:val="009D69D7"/>
    <w:rsid w:val="009D6F9C"/>
    <w:rsid w:val="009E0B13"/>
    <w:rsid w:val="009E2094"/>
    <w:rsid w:val="009E422F"/>
    <w:rsid w:val="009E53E2"/>
    <w:rsid w:val="009F2D5C"/>
    <w:rsid w:val="009F3D28"/>
    <w:rsid w:val="00A03B6C"/>
    <w:rsid w:val="00A0765A"/>
    <w:rsid w:val="00A106C9"/>
    <w:rsid w:val="00A11584"/>
    <w:rsid w:val="00A35E48"/>
    <w:rsid w:val="00A453A2"/>
    <w:rsid w:val="00A50609"/>
    <w:rsid w:val="00A51F55"/>
    <w:rsid w:val="00A54FE7"/>
    <w:rsid w:val="00A62395"/>
    <w:rsid w:val="00A75A20"/>
    <w:rsid w:val="00A7726E"/>
    <w:rsid w:val="00A81ABF"/>
    <w:rsid w:val="00A84EAA"/>
    <w:rsid w:val="00A862C5"/>
    <w:rsid w:val="00A873C8"/>
    <w:rsid w:val="00A910B4"/>
    <w:rsid w:val="00A91621"/>
    <w:rsid w:val="00A92179"/>
    <w:rsid w:val="00AA49A5"/>
    <w:rsid w:val="00AB1168"/>
    <w:rsid w:val="00AC21FE"/>
    <w:rsid w:val="00AC28CF"/>
    <w:rsid w:val="00AC29C6"/>
    <w:rsid w:val="00AC660E"/>
    <w:rsid w:val="00AC70D1"/>
    <w:rsid w:val="00AC7448"/>
    <w:rsid w:val="00AC7742"/>
    <w:rsid w:val="00AD0638"/>
    <w:rsid w:val="00AD0D6A"/>
    <w:rsid w:val="00AD18BF"/>
    <w:rsid w:val="00AD5743"/>
    <w:rsid w:val="00AD7C9F"/>
    <w:rsid w:val="00AE001D"/>
    <w:rsid w:val="00AE1D25"/>
    <w:rsid w:val="00AE493B"/>
    <w:rsid w:val="00AE4FC8"/>
    <w:rsid w:val="00AE6C85"/>
    <w:rsid w:val="00AE7095"/>
    <w:rsid w:val="00AE7487"/>
    <w:rsid w:val="00AF06F6"/>
    <w:rsid w:val="00AF26A9"/>
    <w:rsid w:val="00AF7446"/>
    <w:rsid w:val="00AF77A5"/>
    <w:rsid w:val="00B070B4"/>
    <w:rsid w:val="00B10476"/>
    <w:rsid w:val="00B10E84"/>
    <w:rsid w:val="00B22126"/>
    <w:rsid w:val="00B23FFD"/>
    <w:rsid w:val="00B26BB1"/>
    <w:rsid w:val="00B31A63"/>
    <w:rsid w:val="00B407D3"/>
    <w:rsid w:val="00B41C15"/>
    <w:rsid w:val="00B41E8A"/>
    <w:rsid w:val="00B4262A"/>
    <w:rsid w:val="00B516AF"/>
    <w:rsid w:val="00B54228"/>
    <w:rsid w:val="00B558B5"/>
    <w:rsid w:val="00B55E69"/>
    <w:rsid w:val="00B65AA7"/>
    <w:rsid w:val="00B66378"/>
    <w:rsid w:val="00B66416"/>
    <w:rsid w:val="00B72667"/>
    <w:rsid w:val="00B7711B"/>
    <w:rsid w:val="00B8302D"/>
    <w:rsid w:val="00B83A0D"/>
    <w:rsid w:val="00B8777E"/>
    <w:rsid w:val="00B90FDF"/>
    <w:rsid w:val="00B9247F"/>
    <w:rsid w:val="00B949E9"/>
    <w:rsid w:val="00BA1CE8"/>
    <w:rsid w:val="00BA4474"/>
    <w:rsid w:val="00BA5D0F"/>
    <w:rsid w:val="00BA6BD4"/>
    <w:rsid w:val="00BB1FD6"/>
    <w:rsid w:val="00BB4050"/>
    <w:rsid w:val="00BB44DD"/>
    <w:rsid w:val="00BB79B8"/>
    <w:rsid w:val="00BC1A67"/>
    <w:rsid w:val="00BC246E"/>
    <w:rsid w:val="00BC521F"/>
    <w:rsid w:val="00BC6574"/>
    <w:rsid w:val="00BC71E0"/>
    <w:rsid w:val="00BC7C25"/>
    <w:rsid w:val="00BD34CA"/>
    <w:rsid w:val="00BD4390"/>
    <w:rsid w:val="00BD4D66"/>
    <w:rsid w:val="00BD79EE"/>
    <w:rsid w:val="00BE49D2"/>
    <w:rsid w:val="00BE6482"/>
    <w:rsid w:val="00BF0539"/>
    <w:rsid w:val="00C04DF0"/>
    <w:rsid w:val="00C10501"/>
    <w:rsid w:val="00C159AD"/>
    <w:rsid w:val="00C2564C"/>
    <w:rsid w:val="00C313AF"/>
    <w:rsid w:val="00C37BA7"/>
    <w:rsid w:val="00C44E13"/>
    <w:rsid w:val="00C45B79"/>
    <w:rsid w:val="00C539A4"/>
    <w:rsid w:val="00C54E91"/>
    <w:rsid w:val="00C620EF"/>
    <w:rsid w:val="00C63AA8"/>
    <w:rsid w:val="00C76031"/>
    <w:rsid w:val="00C77F20"/>
    <w:rsid w:val="00C85069"/>
    <w:rsid w:val="00CA267B"/>
    <w:rsid w:val="00CA4AB9"/>
    <w:rsid w:val="00CB185D"/>
    <w:rsid w:val="00CB4221"/>
    <w:rsid w:val="00CB7BC2"/>
    <w:rsid w:val="00CC0069"/>
    <w:rsid w:val="00CC36C2"/>
    <w:rsid w:val="00CD075D"/>
    <w:rsid w:val="00CD2EE6"/>
    <w:rsid w:val="00CE076A"/>
    <w:rsid w:val="00CE2654"/>
    <w:rsid w:val="00CE3469"/>
    <w:rsid w:val="00CF226C"/>
    <w:rsid w:val="00D0279E"/>
    <w:rsid w:val="00D11C92"/>
    <w:rsid w:val="00D15D6E"/>
    <w:rsid w:val="00D238DB"/>
    <w:rsid w:val="00D27212"/>
    <w:rsid w:val="00D30D39"/>
    <w:rsid w:val="00D328BF"/>
    <w:rsid w:val="00D33543"/>
    <w:rsid w:val="00D354A8"/>
    <w:rsid w:val="00D45EFB"/>
    <w:rsid w:val="00D47CEF"/>
    <w:rsid w:val="00D50605"/>
    <w:rsid w:val="00D50AD9"/>
    <w:rsid w:val="00D513C1"/>
    <w:rsid w:val="00D5216B"/>
    <w:rsid w:val="00D54355"/>
    <w:rsid w:val="00D545BA"/>
    <w:rsid w:val="00D551E4"/>
    <w:rsid w:val="00D60F91"/>
    <w:rsid w:val="00D6519F"/>
    <w:rsid w:val="00D71AFA"/>
    <w:rsid w:val="00D977B1"/>
    <w:rsid w:val="00DA38D4"/>
    <w:rsid w:val="00DA54B6"/>
    <w:rsid w:val="00DB3F02"/>
    <w:rsid w:val="00DC2196"/>
    <w:rsid w:val="00DC3964"/>
    <w:rsid w:val="00DE469C"/>
    <w:rsid w:val="00DF6694"/>
    <w:rsid w:val="00DF7268"/>
    <w:rsid w:val="00E002AC"/>
    <w:rsid w:val="00E04AE0"/>
    <w:rsid w:val="00E05A14"/>
    <w:rsid w:val="00E070E4"/>
    <w:rsid w:val="00E07B59"/>
    <w:rsid w:val="00E12BEF"/>
    <w:rsid w:val="00E279AA"/>
    <w:rsid w:val="00E305D0"/>
    <w:rsid w:val="00E32D86"/>
    <w:rsid w:val="00E339C4"/>
    <w:rsid w:val="00E33C4C"/>
    <w:rsid w:val="00E33D94"/>
    <w:rsid w:val="00E341C8"/>
    <w:rsid w:val="00E456F7"/>
    <w:rsid w:val="00E510B9"/>
    <w:rsid w:val="00E6020F"/>
    <w:rsid w:val="00E62320"/>
    <w:rsid w:val="00E6689E"/>
    <w:rsid w:val="00E70583"/>
    <w:rsid w:val="00E722FF"/>
    <w:rsid w:val="00E72C58"/>
    <w:rsid w:val="00E732AE"/>
    <w:rsid w:val="00E74E71"/>
    <w:rsid w:val="00E75E91"/>
    <w:rsid w:val="00E81A8F"/>
    <w:rsid w:val="00E85180"/>
    <w:rsid w:val="00E9049B"/>
    <w:rsid w:val="00E90907"/>
    <w:rsid w:val="00E92997"/>
    <w:rsid w:val="00EA0D35"/>
    <w:rsid w:val="00EA30F9"/>
    <w:rsid w:val="00EA4DF4"/>
    <w:rsid w:val="00EA6DEC"/>
    <w:rsid w:val="00EA7F15"/>
    <w:rsid w:val="00EB0E0D"/>
    <w:rsid w:val="00EB0FFC"/>
    <w:rsid w:val="00EB5593"/>
    <w:rsid w:val="00EB642E"/>
    <w:rsid w:val="00EB6DD5"/>
    <w:rsid w:val="00EC32AB"/>
    <w:rsid w:val="00ED157E"/>
    <w:rsid w:val="00ED2447"/>
    <w:rsid w:val="00ED4240"/>
    <w:rsid w:val="00ED427F"/>
    <w:rsid w:val="00ED5D7F"/>
    <w:rsid w:val="00ED7DC5"/>
    <w:rsid w:val="00EE48D7"/>
    <w:rsid w:val="00EF03F3"/>
    <w:rsid w:val="00F00796"/>
    <w:rsid w:val="00F05962"/>
    <w:rsid w:val="00F06556"/>
    <w:rsid w:val="00F06A60"/>
    <w:rsid w:val="00F06FF9"/>
    <w:rsid w:val="00F078D4"/>
    <w:rsid w:val="00F10DE8"/>
    <w:rsid w:val="00F17D60"/>
    <w:rsid w:val="00F22FB7"/>
    <w:rsid w:val="00F23F63"/>
    <w:rsid w:val="00F45819"/>
    <w:rsid w:val="00F50E90"/>
    <w:rsid w:val="00F527DF"/>
    <w:rsid w:val="00F531C9"/>
    <w:rsid w:val="00F606B2"/>
    <w:rsid w:val="00F62EBE"/>
    <w:rsid w:val="00F665DD"/>
    <w:rsid w:val="00F67E0F"/>
    <w:rsid w:val="00F75CE1"/>
    <w:rsid w:val="00F82403"/>
    <w:rsid w:val="00F8439D"/>
    <w:rsid w:val="00F93909"/>
    <w:rsid w:val="00F97FE2"/>
    <w:rsid w:val="00FB03B2"/>
    <w:rsid w:val="00FB0C0E"/>
    <w:rsid w:val="00FB2816"/>
    <w:rsid w:val="00FB296F"/>
    <w:rsid w:val="00FB2C88"/>
    <w:rsid w:val="00FB3E8D"/>
    <w:rsid w:val="00FC16B1"/>
    <w:rsid w:val="00FC1A3A"/>
    <w:rsid w:val="00FC232E"/>
    <w:rsid w:val="00FC379D"/>
    <w:rsid w:val="00FC3DF3"/>
    <w:rsid w:val="00FC7447"/>
    <w:rsid w:val="00FC7EB0"/>
    <w:rsid w:val="00FD3B27"/>
    <w:rsid w:val="00FF2323"/>
    <w:rsid w:val="00FF2F2F"/>
    <w:rsid w:val="01085908"/>
    <w:rsid w:val="010D342B"/>
    <w:rsid w:val="01140E8D"/>
    <w:rsid w:val="01671BDD"/>
    <w:rsid w:val="019C6F8B"/>
    <w:rsid w:val="01B62F5C"/>
    <w:rsid w:val="0205045B"/>
    <w:rsid w:val="026934D4"/>
    <w:rsid w:val="029C0A21"/>
    <w:rsid w:val="02AB5AF9"/>
    <w:rsid w:val="02C75B3E"/>
    <w:rsid w:val="02CF6123"/>
    <w:rsid w:val="031236B0"/>
    <w:rsid w:val="03172D37"/>
    <w:rsid w:val="03391357"/>
    <w:rsid w:val="03E76726"/>
    <w:rsid w:val="042F62B6"/>
    <w:rsid w:val="044C1C15"/>
    <w:rsid w:val="046452CE"/>
    <w:rsid w:val="048B3E34"/>
    <w:rsid w:val="04D10833"/>
    <w:rsid w:val="05253F61"/>
    <w:rsid w:val="05432019"/>
    <w:rsid w:val="058F5BB6"/>
    <w:rsid w:val="05C56A8B"/>
    <w:rsid w:val="06913258"/>
    <w:rsid w:val="06941A5E"/>
    <w:rsid w:val="06D80E87"/>
    <w:rsid w:val="072D539B"/>
    <w:rsid w:val="074B1C9D"/>
    <w:rsid w:val="078608E3"/>
    <w:rsid w:val="07944BFB"/>
    <w:rsid w:val="07D900B4"/>
    <w:rsid w:val="084D7C2D"/>
    <w:rsid w:val="08A27CDC"/>
    <w:rsid w:val="08F902E3"/>
    <w:rsid w:val="08FC18B2"/>
    <w:rsid w:val="090B4D3A"/>
    <w:rsid w:val="095D153A"/>
    <w:rsid w:val="0A6767AA"/>
    <w:rsid w:val="0A950365"/>
    <w:rsid w:val="0AB62245"/>
    <w:rsid w:val="0AC74137"/>
    <w:rsid w:val="0B601566"/>
    <w:rsid w:val="0B903ADE"/>
    <w:rsid w:val="0B97784A"/>
    <w:rsid w:val="0BB57966"/>
    <w:rsid w:val="0C0C27EF"/>
    <w:rsid w:val="0C0F2DEF"/>
    <w:rsid w:val="0C907C34"/>
    <w:rsid w:val="0CC2421E"/>
    <w:rsid w:val="0CFE46F5"/>
    <w:rsid w:val="0D5A5A52"/>
    <w:rsid w:val="0D7116ED"/>
    <w:rsid w:val="0DC511A5"/>
    <w:rsid w:val="0DE91F9A"/>
    <w:rsid w:val="0E0F7006"/>
    <w:rsid w:val="0E440BB0"/>
    <w:rsid w:val="0E53055C"/>
    <w:rsid w:val="0E924564"/>
    <w:rsid w:val="0E9E1AB3"/>
    <w:rsid w:val="0EE157BD"/>
    <w:rsid w:val="0F745EA1"/>
    <w:rsid w:val="0FB13E3B"/>
    <w:rsid w:val="105F11BD"/>
    <w:rsid w:val="10C17882"/>
    <w:rsid w:val="10D75591"/>
    <w:rsid w:val="11421D1E"/>
    <w:rsid w:val="11480F9F"/>
    <w:rsid w:val="11A27430"/>
    <w:rsid w:val="11AE6462"/>
    <w:rsid w:val="11AF0294"/>
    <w:rsid w:val="11FE0506"/>
    <w:rsid w:val="12032FD4"/>
    <w:rsid w:val="1207570F"/>
    <w:rsid w:val="12437AFC"/>
    <w:rsid w:val="1279059B"/>
    <w:rsid w:val="13465A90"/>
    <w:rsid w:val="134C0C32"/>
    <w:rsid w:val="135437AB"/>
    <w:rsid w:val="137C64AA"/>
    <w:rsid w:val="13877694"/>
    <w:rsid w:val="13F44C4B"/>
    <w:rsid w:val="13FA41EA"/>
    <w:rsid w:val="141B23B3"/>
    <w:rsid w:val="142F32D6"/>
    <w:rsid w:val="144B713C"/>
    <w:rsid w:val="14901D13"/>
    <w:rsid w:val="14974446"/>
    <w:rsid w:val="14A75259"/>
    <w:rsid w:val="14A979BF"/>
    <w:rsid w:val="150554CE"/>
    <w:rsid w:val="152B6A37"/>
    <w:rsid w:val="15427821"/>
    <w:rsid w:val="15D53161"/>
    <w:rsid w:val="16175090"/>
    <w:rsid w:val="168E50BE"/>
    <w:rsid w:val="16C13B8D"/>
    <w:rsid w:val="16F95A5F"/>
    <w:rsid w:val="17072F54"/>
    <w:rsid w:val="17321EED"/>
    <w:rsid w:val="1741793A"/>
    <w:rsid w:val="176B4DCD"/>
    <w:rsid w:val="17C76AD9"/>
    <w:rsid w:val="17F93136"/>
    <w:rsid w:val="17FA3572"/>
    <w:rsid w:val="18055854"/>
    <w:rsid w:val="185F31B6"/>
    <w:rsid w:val="18B1067C"/>
    <w:rsid w:val="18C452C7"/>
    <w:rsid w:val="18E65D08"/>
    <w:rsid w:val="19064AB6"/>
    <w:rsid w:val="190715B9"/>
    <w:rsid w:val="190A179D"/>
    <w:rsid w:val="191F6A89"/>
    <w:rsid w:val="193355F0"/>
    <w:rsid w:val="199450E1"/>
    <w:rsid w:val="19CF6119"/>
    <w:rsid w:val="1AD82DAC"/>
    <w:rsid w:val="1AE9320B"/>
    <w:rsid w:val="1AFE740B"/>
    <w:rsid w:val="1B0979BA"/>
    <w:rsid w:val="1B121EFD"/>
    <w:rsid w:val="1B2401E2"/>
    <w:rsid w:val="1B4D1A94"/>
    <w:rsid w:val="1C046E30"/>
    <w:rsid w:val="1C311B1C"/>
    <w:rsid w:val="1C5C58D4"/>
    <w:rsid w:val="1D1C1F84"/>
    <w:rsid w:val="1D1E634F"/>
    <w:rsid w:val="1D5C7CC4"/>
    <w:rsid w:val="1D9256A2"/>
    <w:rsid w:val="1DE274BF"/>
    <w:rsid w:val="1DE40059"/>
    <w:rsid w:val="1E04377A"/>
    <w:rsid w:val="1E207288"/>
    <w:rsid w:val="1E62130A"/>
    <w:rsid w:val="1E7A4110"/>
    <w:rsid w:val="1EB30D7F"/>
    <w:rsid w:val="1ED015A4"/>
    <w:rsid w:val="1F173406"/>
    <w:rsid w:val="1F3233D2"/>
    <w:rsid w:val="1F346212"/>
    <w:rsid w:val="20591BC5"/>
    <w:rsid w:val="20D61AD5"/>
    <w:rsid w:val="21964226"/>
    <w:rsid w:val="222A0193"/>
    <w:rsid w:val="227B42A0"/>
    <w:rsid w:val="22DF0B5F"/>
    <w:rsid w:val="23176E47"/>
    <w:rsid w:val="244A1018"/>
    <w:rsid w:val="248A3740"/>
    <w:rsid w:val="251D75F6"/>
    <w:rsid w:val="254363CB"/>
    <w:rsid w:val="25593316"/>
    <w:rsid w:val="25C61A98"/>
    <w:rsid w:val="262477ED"/>
    <w:rsid w:val="26323F58"/>
    <w:rsid w:val="264803E4"/>
    <w:rsid w:val="264C5F8D"/>
    <w:rsid w:val="26B446CD"/>
    <w:rsid w:val="26DE5BEE"/>
    <w:rsid w:val="27070CA1"/>
    <w:rsid w:val="27BF2ADC"/>
    <w:rsid w:val="27DF61D1"/>
    <w:rsid w:val="27E014F2"/>
    <w:rsid w:val="27E45486"/>
    <w:rsid w:val="27E77793"/>
    <w:rsid w:val="27FF0C9D"/>
    <w:rsid w:val="28113B3F"/>
    <w:rsid w:val="28163807"/>
    <w:rsid w:val="282B2AD3"/>
    <w:rsid w:val="28417A3D"/>
    <w:rsid w:val="286F28D2"/>
    <w:rsid w:val="28E3573D"/>
    <w:rsid w:val="29273886"/>
    <w:rsid w:val="293107F3"/>
    <w:rsid w:val="295E3016"/>
    <w:rsid w:val="29842FD7"/>
    <w:rsid w:val="29AC7CD9"/>
    <w:rsid w:val="2A622A0A"/>
    <w:rsid w:val="2B141BDE"/>
    <w:rsid w:val="2B45166C"/>
    <w:rsid w:val="2CD4199C"/>
    <w:rsid w:val="2CD91EB1"/>
    <w:rsid w:val="2D1B008D"/>
    <w:rsid w:val="2D256324"/>
    <w:rsid w:val="2D314CC9"/>
    <w:rsid w:val="2D413E82"/>
    <w:rsid w:val="2D4408C0"/>
    <w:rsid w:val="2D4A5EF3"/>
    <w:rsid w:val="2D6A4679"/>
    <w:rsid w:val="2D94550B"/>
    <w:rsid w:val="2DDB064E"/>
    <w:rsid w:val="2DF242EB"/>
    <w:rsid w:val="2E324315"/>
    <w:rsid w:val="2E3E0785"/>
    <w:rsid w:val="2E487AE6"/>
    <w:rsid w:val="2E5D1AEE"/>
    <w:rsid w:val="2E8101E9"/>
    <w:rsid w:val="2F2F6310"/>
    <w:rsid w:val="2F4312AC"/>
    <w:rsid w:val="2F6036F9"/>
    <w:rsid w:val="2F73209B"/>
    <w:rsid w:val="2F8512FC"/>
    <w:rsid w:val="2F8C5ED4"/>
    <w:rsid w:val="2FCF0046"/>
    <w:rsid w:val="30E12562"/>
    <w:rsid w:val="31002970"/>
    <w:rsid w:val="31652E49"/>
    <w:rsid w:val="31B314B5"/>
    <w:rsid w:val="31EC00D0"/>
    <w:rsid w:val="323857D9"/>
    <w:rsid w:val="3279475B"/>
    <w:rsid w:val="328643D2"/>
    <w:rsid w:val="32894C60"/>
    <w:rsid w:val="32961B0D"/>
    <w:rsid w:val="32CC36D5"/>
    <w:rsid w:val="32CD43E0"/>
    <w:rsid w:val="33082A34"/>
    <w:rsid w:val="33251527"/>
    <w:rsid w:val="333E7915"/>
    <w:rsid w:val="338C1C13"/>
    <w:rsid w:val="33AA355E"/>
    <w:rsid w:val="33C671C0"/>
    <w:rsid w:val="3434088C"/>
    <w:rsid w:val="34564FC5"/>
    <w:rsid w:val="346A078E"/>
    <w:rsid w:val="348876F9"/>
    <w:rsid w:val="35357321"/>
    <w:rsid w:val="355C1D39"/>
    <w:rsid w:val="3562633D"/>
    <w:rsid w:val="35875782"/>
    <w:rsid w:val="359C68D7"/>
    <w:rsid w:val="35A453EE"/>
    <w:rsid w:val="35CC0651"/>
    <w:rsid w:val="35E30B1C"/>
    <w:rsid w:val="361709A2"/>
    <w:rsid w:val="36B50719"/>
    <w:rsid w:val="36D357F7"/>
    <w:rsid w:val="36D6068F"/>
    <w:rsid w:val="37404185"/>
    <w:rsid w:val="37550FA5"/>
    <w:rsid w:val="379B2762"/>
    <w:rsid w:val="37A121A0"/>
    <w:rsid w:val="37EB016A"/>
    <w:rsid w:val="380E6C33"/>
    <w:rsid w:val="38310062"/>
    <w:rsid w:val="3877597D"/>
    <w:rsid w:val="387B329C"/>
    <w:rsid w:val="38AB5EE8"/>
    <w:rsid w:val="38E505E8"/>
    <w:rsid w:val="39674531"/>
    <w:rsid w:val="3969336A"/>
    <w:rsid w:val="39E66E3B"/>
    <w:rsid w:val="39EE7A9E"/>
    <w:rsid w:val="3A6E16C0"/>
    <w:rsid w:val="3A795B36"/>
    <w:rsid w:val="3B4E6A46"/>
    <w:rsid w:val="3B534DA4"/>
    <w:rsid w:val="3BDF1600"/>
    <w:rsid w:val="3BF014E4"/>
    <w:rsid w:val="3C1974F0"/>
    <w:rsid w:val="3C2E780F"/>
    <w:rsid w:val="3C5C0294"/>
    <w:rsid w:val="3C5C308C"/>
    <w:rsid w:val="3C64126C"/>
    <w:rsid w:val="3C81561B"/>
    <w:rsid w:val="3D732E95"/>
    <w:rsid w:val="3DCE67A8"/>
    <w:rsid w:val="3DDB23E6"/>
    <w:rsid w:val="3DDC5759"/>
    <w:rsid w:val="3E18366C"/>
    <w:rsid w:val="3EE13DB5"/>
    <w:rsid w:val="3F534F0F"/>
    <w:rsid w:val="3F78302F"/>
    <w:rsid w:val="401E3EBE"/>
    <w:rsid w:val="40583EC3"/>
    <w:rsid w:val="40852D34"/>
    <w:rsid w:val="41126455"/>
    <w:rsid w:val="41A5421E"/>
    <w:rsid w:val="426643FF"/>
    <w:rsid w:val="428B568D"/>
    <w:rsid w:val="428D3AA6"/>
    <w:rsid w:val="437C0212"/>
    <w:rsid w:val="4394784E"/>
    <w:rsid w:val="43D84EAD"/>
    <w:rsid w:val="43E25FE0"/>
    <w:rsid w:val="43FA77C6"/>
    <w:rsid w:val="44523A44"/>
    <w:rsid w:val="44BE142B"/>
    <w:rsid w:val="453464CE"/>
    <w:rsid w:val="455E67A1"/>
    <w:rsid w:val="45EF323D"/>
    <w:rsid w:val="45F57EF3"/>
    <w:rsid w:val="462875A5"/>
    <w:rsid w:val="46733805"/>
    <w:rsid w:val="47777325"/>
    <w:rsid w:val="478A0E5F"/>
    <w:rsid w:val="47C114AE"/>
    <w:rsid w:val="47D2789A"/>
    <w:rsid w:val="47E04DCD"/>
    <w:rsid w:val="480420FC"/>
    <w:rsid w:val="48070580"/>
    <w:rsid w:val="483E7C3B"/>
    <w:rsid w:val="48580F04"/>
    <w:rsid w:val="49634005"/>
    <w:rsid w:val="49A15640"/>
    <w:rsid w:val="49CA62E2"/>
    <w:rsid w:val="4A4F0FB9"/>
    <w:rsid w:val="4AA30431"/>
    <w:rsid w:val="4B8713BF"/>
    <w:rsid w:val="4B9D475A"/>
    <w:rsid w:val="4BCB385B"/>
    <w:rsid w:val="4BDD1705"/>
    <w:rsid w:val="4BE02AD2"/>
    <w:rsid w:val="4C0E7CD6"/>
    <w:rsid w:val="4C211F55"/>
    <w:rsid w:val="4C3407E4"/>
    <w:rsid w:val="4C8D68A2"/>
    <w:rsid w:val="4C9E5354"/>
    <w:rsid w:val="4CFA4C80"/>
    <w:rsid w:val="4D0134CD"/>
    <w:rsid w:val="4D105227"/>
    <w:rsid w:val="4D3A70DF"/>
    <w:rsid w:val="4D4128AF"/>
    <w:rsid w:val="4D7F134B"/>
    <w:rsid w:val="4E124A37"/>
    <w:rsid w:val="4E331D69"/>
    <w:rsid w:val="4E497A5F"/>
    <w:rsid w:val="4ECC1FCC"/>
    <w:rsid w:val="4EDE412D"/>
    <w:rsid w:val="4F103CA6"/>
    <w:rsid w:val="4FD95020"/>
    <w:rsid w:val="501F327A"/>
    <w:rsid w:val="50FA5918"/>
    <w:rsid w:val="51145BE4"/>
    <w:rsid w:val="511512B5"/>
    <w:rsid w:val="511710C9"/>
    <w:rsid w:val="51357C48"/>
    <w:rsid w:val="516C77CE"/>
    <w:rsid w:val="5176294B"/>
    <w:rsid w:val="518113CA"/>
    <w:rsid w:val="52D63DA6"/>
    <w:rsid w:val="5325702A"/>
    <w:rsid w:val="53566988"/>
    <w:rsid w:val="5376752B"/>
    <w:rsid w:val="5380064F"/>
    <w:rsid w:val="53D07654"/>
    <w:rsid w:val="54F05701"/>
    <w:rsid w:val="552611C2"/>
    <w:rsid w:val="5597750F"/>
    <w:rsid w:val="57015979"/>
    <w:rsid w:val="572D7A00"/>
    <w:rsid w:val="57AC76F6"/>
    <w:rsid w:val="58386D06"/>
    <w:rsid w:val="584E32EE"/>
    <w:rsid w:val="586E66A0"/>
    <w:rsid w:val="58C63C68"/>
    <w:rsid w:val="590C485E"/>
    <w:rsid w:val="5999137D"/>
    <w:rsid w:val="5A2E7A74"/>
    <w:rsid w:val="5A4125A7"/>
    <w:rsid w:val="5AC468CD"/>
    <w:rsid w:val="5ACB7C5C"/>
    <w:rsid w:val="5B3E42C0"/>
    <w:rsid w:val="5B4211C7"/>
    <w:rsid w:val="5B4A5B54"/>
    <w:rsid w:val="5B94004E"/>
    <w:rsid w:val="5BD02F6A"/>
    <w:rsid w:val="5BE82147"/>
    <w:rsid w:val="5BF32AEA"/>
    <w:rsid w:val="5C942A1F"/>
    <w:rsid w:val="5D217D86"/>
    <w:rsid w:val="5D423AD9"/>
    <w:rsid w:val="5D9B116A"/>
    <w:rsid w:val="5DA95BCC"/>
    <w:rsid w:val="5DF558DF"/>
    <w:rsid w:val="5E3272B6"/>
    <w:rsid w:val="5E3B0F13"/>
    <w:rsid w:val="5E803C0B"/>
    <w:rsid w:val="5E8470C1"/>
    <w:rsid w:val="5E935533"/>
    <w:rsid w:val="5F773F0E"/>
    <w:rsid w:val="5F9D3ABC"/>
    <w:rsid w:val="5FCB51B4"/>
    <w:rsid w:val="6030354A"/>
    <w:rsid w:val="60310561"/>
    <w:rsid w:val="6067598F"/>
    <w:rsid w:val="606D6DE0"/>
    <w:rsid w:val="608337E2"/>
    <w:rsid w:val="60E15881"/>
    <w:rsid w:val="60E47381"/>
    <w:rsid w:val="60F410CA"/>
    <w:rsid w:val="613D799D"/>
    <w:rsid w:val="614538A0"/>
    <w:rsid w:val="614E763F"/>
    <w:rsid w:val="619C5EAE"/>
    <w:rsid w:val="621B3277"/>
    <w:rsid w:val="621E338C"/>
    <w:rsid w:val="624206E9"/>
    <w:rsid w:val="62724313"/>
    <w:rsid w:val="62A90C69"/>
    <w:rsid w:val="634467FD"/>
    <w:rsid w:val="63532B17"/>
    <w:rsid w:val="63C6275C"/>
    <w:rsid w:val="641A06C2"/>
    <w:rsid w:val="6439620D"/>
    <w:rsid w:val="644E4AD6"/>
    <w:rsid w:val="648022A0"/>
    <w:rsid w:val="64C77883"/>
    <w:rsid w:val="64F32289"/>
    <w:rsid w:val="654A1084"/>
    <w:rsid w:val="655C1D56"/>
    <w:rsid w:val="66146520"/>
    <w:rsid w:val="67053426"/>
    <w:rsid w:val="672C4C52"/>
    <w:rsid w:val="677E1F62"/>
    <w:rsid w:val="678C2521"/>
    <w:rsid w:val="67A55390"/>
    <w:rsid w:val="67EC5AF6"/>
    <w:rsid w:val="688436E1"/>
    <w:rsid w:val="68F14D31"/>
    <w:rsid w:val="68F268F8"/>
    <w:rsid w:val="691A54E7"/>
    <w:rsid w:val="691E36D7"/>
    <w:rsid w:val="694D6A18"/>
    <w:rsid w:val="694E2889"/>
    <w:rsid w:val="69540E80"/>
    <w:rsid w:val="6A121647"/>
    <w:rsid w:val="6A1B0703"/>
    <w:rsid w:val="6A25350A"/>
    <w:rsid w:val="6A9C6F1F"/>
    <w:rsid w:val="6AA903BD"/>
    <w:rsid w:val="6AB048F9"/>
    <w:rsid w:val="6B3365A5"/>
    <w:rsid w:val="6C087DF7"/>
    <w:rsid w:val="6C312FE9"/>
    <w:rsid w:val="6C424D71"/>
    <w:rsid w:val="6CC25F97"/>
    <w:rsid w:val="6D392803"/>
    <w:rsid w:val="6D437B25"/>
    <w:rsid w:val="6E1312A6"/>
    <w:rsid w:val="6E6C1B1F"/>
    <w:rsid w:val="6EDC4386"/>
    <w:rsid w:val="6F8C01E6"/>
    <w:rsid w:val="702A28D7"/>
    <w:rsid w:val="70552B32"/>
    <w:rsid w:val="707854DF"/>
    <w:rsid w:val="70B566F6"/>
    <w:rsid w:val="70D72A5F"/>
    <w:rsid w:val="71997DED"/>
    <w:rsid w:val="71A82A8E"/>
    <w:rsid w:val="72BD7512"/>
    <w:rsid w:val="72F03B17"/>
    <w:rsid w:val="72F06237"/>
    <w:rsid w:val="73321322"/>
    <w:rsid w:val="73414E3B"/>
    <w:rsid w:val="73487BAB"/>
    <w:rsid w:val="73EF41AA"/>
    <w:rsid w:val="74744E42"/>
    <w:rsid w:val="74EE768C"/>
    <w:rsid w:val="75112504"/>
    <w:rsid w:val="76DE5835"/>
    <w:rsid w:val="770A5349"/>
    <w:rsid w:val="777D11AA"/>
    <w:rsid w:val="779132F6"/>
    <w:rsid w:val="77F26FB3"/>
    <w:rsid w:val="77FB4CEF"/>
    <w:rsid w:val="7802282E"/>
    <w:rsid w:val="781F63BA"/>
    <w:rsid w:val="782C19E7"/>
    <w:rsid w:val="783B5EBA"/>
    <w:rsid w:val="78CB1938"/>
    <w:rsid w:val="78F84490"/>
    <w:rsid w:val="790E0B26"/>
    <w:rsid w:val="7982651F"/>
    <w:rsid w:val="79AB0BE1"/>
    <w:rsid w:val="79D07D4B"/>
    <w:rsid w:val="7A9C2504"/>
    <w:rsid w:val="7ACE63C0"/>
    <w:rsid w:val="7B296576"/>
    <w:rsid w:val="7B720171"/>
    <w:rsid w:val="7BC8615C"/>
    <w:rsid w:val="7BE6629A"/>
    <w:rsid w:val="7BE81FC4"/>
    <w:rsid w:val="7C055DEE"/>
    <w:rsid w:val="7C444D20"/>
    <w:rsid w:val="7C745605"/>
    <w:rsid w:val="7CB54A9B"/>
    <w:rsid w:val="7CD27A1D"/>
    <w:rsid w:val="7D1D65FA"/>
    <w:rsid w:val="7D380D29"/>
    <w:rsid w:val="7D4F4482"/>
    <w:rsid w:val="7D5817FA"/>
    <w:rsid w:val="7D8C33DB"/>
    <w:rsid w:val="7DAA6C28"/>
    <w:rsid w:val="7E002A39"/>
    <w:rsid w:val="7E374B3D"/>
    <w:rsid w:val="7E992C27"/>
    <w:rsid w:val="7EAD4DFF"/>
    <w:rsid w:val="7EB73821"/>
    <w:rsid w:val="7ECC3955"/>
    <w:rsid w:val="7ED607F9"/>
    <w:rsid w:val="7EE714D1"/>
    <w:rsid w:val="7EEA6053"/>
    <w:rsid w:val="7F361CA1"/>
    <w:rsid w:val="7F720E23"/>
    <w:rsid w:val="7F763123"/>
    <w:rsid w:val="7F78540D"/>
    <w:rsid w:val="7FD34D39"/>
    <w:rsid w:val="7FDF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0"/>
    <w:qFormat/>
    <w:uiPriority w:val="0"/>
    <w:pPr>
      <w:keepNext/>
      <w:keepLines/>
      <w:adjustRightInd w:val="0"/>
      <w:spacing w:before="340" w:after="330" w:line="578" w:lineRule="atLeast"/>
      <w:textAlignment w:val="baseline"/>
      <w:outlineLvl w:val="0"/>
    </w:pPr>
    <w:rPr>
      <w:b/>
      <w:bCs/>
      <w:kern w:val="44"/>
      <w:sz w:val="44"/>
      <w:szCs w:val="44"/>
    </w:rPr>
  </w:style>
  <w:style w:type="paragraph" w:styleId="4">
    <w:name w:val="heading 2"/>
    <w:basedOn w:val="1"/>
    <w:next w:val="5"/>
    <w:qFormat/>
    <w:uiPriority w:val="0"/>
    <w:pPr>
      <w:keepNext/>
      <w:keepLines/>
      <w:spacing w:before="120" w:after="120"/>
      <w:jc w:val="center"/>
      <w:outlineLvl w:val="1"/>
    </w:pPr>
    <w:rPr>
      <w:rFonts w:ascii="Arial" w:hAnsi="Arial" w:eastAsia="黑体"/>
      <w:b/>
      <w:sz w:val="28"/>
      <w:szCs w:val="28"/>
    </w:rPr>
  </w:style>
  <w:style w:type="paragraph" w:styleId="6">
    <w:name w:val="heading 3"/>
    <w:basedOn w:val="1"/>
    <w:next w:val="1"/>
    <w:link w:val="42"/>
    <w:qFormat/>
    <w:uiPriority w:val="9"/>
    <w:pPr>
      <w:keepNext/>
      <w:keepLines/>
      <w:spacing w:before="120" w:after="120"/>
      <w:outlineLvl w:val="2"/>
    </w:pPr>
    <w:rPr>
      <w:rFonts w:eastAsia="黑体"/>
      <w:b/>
      <w:sz w:val="32"/>
    </w:rPr>
  </w:style>
  <w:style w:type="paragraph" w:styleId="7">
    <w:name w:val="heading 4"/>
    <w:basedOn w:val="1"/>
    <w:next w:val="1"/>
    <w:qFormat/>
    <w:uiPriority w:val="0"/>
    <w:pPr>
      <w:spacing w:line="374" w:lineRule="exact"/>
      <w:jc w:val="center"/>
      <w:outlineLvl w:val="3"/>
    </w:pPr>
    <w:rPr>
      <w:b/>
      <w:bCs/>
      <w:sz w:val="30"/>
      <w:szCs w:val="3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156" w:after="156"/>
      <w:ind w:firstLine="480"/>
    </w:pPr>
  </w:style>
  <w:style w:type="paragraph" w:styleId="5">
    <w:name w:val="Normal Indent"/>
    <w:basedOn w:val="1"/>
    <w:link w:val="41"/>
    <w:qFormat/>
    <w:uiPriority w:val="0"/>
    <w:pPr>
      <w:ind w:firstLine="420"/>
    </w:pPr>
  </w:style>
  <w:style w:type="paragraph" w:styleId="8">
    <w:name w:val="Document Map"/>
    <w:basedOn w:val="1"/>
    <w:semiHidden/>
    <w:qFormat/>
    <w:uiPriority w:val="0"/>
    <w:pPr>
      <w:shd w:val="clear" w:color="auto" w:fill="000080"/>
    </w:pPr>
  </w:style>
  <w:style w:type="paragraph" w:styleId="9">
    <w:name w:val="annotation text"/>
    <w:basedOn w:val="1"/>
    <w:link w:val="43"/>
    <w:qFormat/>
    <w:uiPriority w:val="99"/>
    <w:pPr>
      <w:jc w:val="left"/>
    </w:pPr>
    <w:rPr>
      <w:szCs w:val="24"/>
    </w:rPr>
  </w:style>
  <w:style w:type="paragraph" w:styleId="10">
    <w:name w:val="Body Text"/>
    <w:basedOn w:val="1"/>
    <w:link w:val="44"/>
    <w:qFormat/>
    <w:uiPriority w:val="0"/>
    <w:pPr>
      <w:spacing w:after="120"/>
    </w:pPr>
    <w:rPr>
      <w:szCs w:val="21"/>
    </w:rPr>
  </w:style>
  <w:style w:type="paragraph" w:styleId="11">
    <w:name w:val="Body Text Indent"/>
    <w:basedOn w:val="1"/>
    <w:link w:val="45"/>
    <w:qFormat/>
    <w:uiPriority w:val="0"/>
    <w:pPr>
      <w:spacing w:after="120"/>
      <w:ind w:left="420" w:leftChars="200"/>
    </w:pPr>
  </w:style>
  <w:style w:type="paragraph" w:styleId="12">
    <w:name w:val="Plain Text"/>
    <w:basedOn w:val="1"/>
    <w:link w:val="46"/>
    <w:qFormat/>
    <w:uiPriority w:val="0"/>
    <w:pPr>
      <w:widowControl/>
      <w:overflowPunct w:val="0"/>
      <w:autoSpaceDE w:val="0"/>
      <w:autoSpaceDN w:val="0"/>
      <w:adjustRightInd w:val="0"/>
      <w:jc w:val="left"/>
      <w:textAlignment w:val="baseline"/>
    </w:pPr>
    <w:rPr>
      <w:rFonts w:ascii="宋体" w:hAnsi="Courier New"/>
      <w:kern w:val="0"/>
    </w:rPr>
  </w:style>
  <w:style w:type="paragraph" w:styleId="13">
    <w:name w:val="index 3"/>
    <w:basedOn w:val="1"/>
    <w:next w:val="1"/>
    <w:qFormat/>
    <w:uiPriority w:val="0"/>
    <w:pPr>
      <w:ind w:left="400" w:leftChars="400"/>
    </w:pPr>
  </w:style>
  <w:style w:type="paragraph" w:styleId="14">
    <w:name w:val="Date"/>
    <w:basedOn w:val="1"/>
    <w:next w:val="1"/>
    <w:qFormat/>
    <w:uiPriority w:val="0"/>
    <w:pPr>
      <w:ind w:left="100" w:leftChars="2500"/>
    </w:pPr>
    <w:rPr>
      <w:szCs w:val="24"/>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47"/>
    <w:qFormat/>
    <w:uiPriority w:val="0"/>
    <w:rPr>
      <w:sz w:val="18"/>
      <w:szCs w:val="18"/>
    </w:rPr>
  </w:style>
  <w:style w:type="paragraph" w:styleId="17">
    <w:name w:val="footer"/>
    <w:basedOn w:val="1"/>
    <w:link w:val="48"/>
    <w:qFormat/>
    <w:uiPriority w:val="99"/>
    <w:pPr>
      <w:tabs>
        <w:tab w:val="center" w:pos="4153"/>
        <w:tab w:val="right" w:pos="8306"/>
      </w:tabs>
      <w:snapToGrid w:val="0"/>
      <w:jc w:val="left"/>
    </w:pPr>
    <w:rPr>
      <w:sz w:val="18"/>
    </w:rPr>
  </w:style>
  <w:style w:type="paragraph" w:styleId="18">
    <w:name w:val="header"/>
    <w:basedOn w:val="1"/>
    <w:link w:val="49"/>
    <w:qFormat/>
    <w:uiPriority w:val="0"/>
    <w:pPr>
      <w:pBdr>
        <w:bottom w:val="single" w:color="auto" w:sz="6" w:space="1"/>
      </w:pBdr>
      <w:tabs>
        <w:tab w:val="center" w:pos="4153"/>
        <w:tab w:val="right" w:pos="8306"/>
      </w:tabs>
      <w:snapToGrid w:val="0"/>
      <w:jc w:val="center"/>
    </w:pPr>
    <w:rPr>
      <w:sz w:val="18"/>
    </w:rPr>
  </w:style>
  <w:style w:type="paragraph" w:styleId="19">
    <w:name w:val="toc 2"/>
    <w:basedOn w:val="1"/>
    <w:next w:val="1"/>
    <w:qFormat/>
    <w:uiPriority w:val="0"/>
    <w:pPr>
      <w:ind w:left="210"/>
      <w:jc w:val="left"/>
    </w:pPr>
    <w:rPr>
      <w:smallCaps/>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link w:val="50"/>
    <w:qFormat/>
    <w:uiPriority w:val="0"/>
    <w:pPr>
      <w:spacing w:before="240" w:after="60"/>
      <w:jc w:val="center"/>
      <w:outlineLvl w:val="0"/>
    </w:pPr>
    <w:rPr>
      <w:rFonts w:ascii="Cambria" w:hAnsi="Cambria"/>
      <w:b/>
      <w:bCs/>
      <w:sz w:val="32"/>
      <w:szCs w:val="32"/>
    </w:rPr>
  </w:style>
  <w:style w:type="paragraph" w:styleId="22">
    <w:name w:val="Body Text First Indent"/>
    <w:basedOn w:val="10"/>
    <w:qFormat/>
    <w:uiPriority w:val="0"/>
    <w:pPr>
      <w:tabs>
        <w:tab w:val="left" w:pos="2020"/>
        <w:tab w:val="center" w:pos="4535"/>
      </w:tabs>
      <w:ind w:firstLine="420" w:firstLineChars="100"/>
    </w:pPr>
  </w:style>
  <w:style w:type="table" w:styleId="24">
    <w:name w:val="Table Grid"/>
    <w:basedOn w:val="2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style>
  <w:style w:type="character" w:styleId="27">
    <w:name w:val="page number"/>
    <w:qFormat/>
    <w:uiPriority w:val="0"/>
  </w:style>
  <w:style w:type="character" w:styleId="28">
    <w:name w:val="FollowedHyperlink"/>
    <w:qFormat/>
    <w:uiPriority w:val="0"/>
    <w:rPr>
      <w:color w:val="800080"/>
      <w:u w:val="none"/>
    </w:rPr>
  </w:style>
  <w:style w:type="character" w:styleId="29">
    <w:name w:val="Emphasis"/>
    <w:qFormat/>
    <w:uiPriority w:val="0"/>
  </w:style>
  <w:style w:type="character" w:styleId="30">
    <w:name w:val="HTML Definition"/>
    <w:qFormat/>
    <w:uiPriority w:val="0"/>
  </w:style>
  <w:style w:type="character" w:styleId="31">
    <w:name w:val="HTML Typewriter"/>
    <w:qFormat/>
    <w:uiPriority w:val="0"/>
    <w:rPr>
      <w:rFonts w:hint="default" w:ascii="monospace" w:hAnsi="monospace" w:eastAsia="monospace" w:cs="monospace"/>
      <w:sz w:val="20"/>
    </w:rPr>
  </w:style>
  <w:style w:type="character" w:styleId="32">
    <w:name w:val="HTML Acronym"/>
    <w:qFormat/>
    <w:uiPriority w:val="0"/>
  </w:style>
  <w:style w:type="character" w:styleId="33">
    <w:name w:val="HTML Variable"/>
    <w:qFormat/>
    <w:uiPriority w:val="0"/>
  </w:style>
  <w:style w:type="character" w:styleId="34">
    <w:name w:val="Hyperlink"/>
    <w:qFormat/>
    <w:uiPriority w:val="0"/>
    <w:rPr>
      <w:color w:val="0000FF"/>
      <w:u w:val="none"/>
    </w:rPr>
  </w:style>
  <w:style w:type="character" w:styleId="35">
    <w:name w:val="HTML Code"/>
    <w:qFormat/>
    <w:uiPriority w:val="0"/>
    <w:rPr>
      <w:rFonts w:ascii="monospace" w:hAnsi="monospace" w:eastAsia="monospace" w:cs="monospace"/>
      <w:sz w:val="20"/>
    </w:rPr>
  </w:style>
  <w:style w:type="character" w:styleId="36">
    <w:name w:val="HTML Cite"/>
    <w:qFormat/>
    <w:uiPriority w:val="0"/>
  </w:style>
  <w:style w:type="character" w:styleId="37">
    <w:name w:val="HTML Keyboard"/>
    <w:qFormat/>
    <w:uiPriority w:val="0"/>
    <w:rPr>
      <w:rFonts w:hint="default" w:ascii="monospace" w:hAnsi="monospace" w:eastAsia="monospace" w:cs="monospace"/>
      <w:sz w:val="20"/>
    </w:rPr>
  </w:style>
  <w:style w:type="character" w:styleId="38">
    <w:name w:val="HTML Sample"/>
    <w:qFormat/>
    <w:uiPriority w:val="0"/>
    <w:rPr>
      <w:rFonts w:hint="default" w:ascii="monospace" w:hAnsi="monospace" w:eastAsia="monospace" w:cs="monospace"/>
    </w:rPr>
  </w:style>
  <w:style w:type="paragraph" w:customStyle="1" w:styleId="39">
    <w:name w:val="正文1"/>
    <w:basedOn w:val="1"/>
    <w:qFormat/>
    <w:uiPriority w:val="0"/>
    <w:pPr>
      <w:spacing w:line="360" w:lineRule="auto"/>
      <w:ind w:firstLine="361"/>
    </w:pPr>
    <w:rPr>
      <w:rFonts w:ascii="宋体" w:hAnsi="宋体"/>
      <w:szCs w:val="24"/>
    </w:rPr>
  </w:style>
  <w:style w:type="character" w:customStyle="1" w:styleId="40">
    <w:name w:val="标题 1 Char"/>
    <w:link w:val="3"/>
    <w:qFormat/>
    <w:uiPriority w:val="0"/>
    <w:rPr>
      <w:rFonts w:eastAsia="宋体"/>
      <w:b/>
      <w:bCs/>
      <w:kern w:val="44"/>
      <w:sz w:val="44"/>
      <w:szCs w:val="44"/>
      <w:lang w:val="en-US" w:eastAsia="zh-CN" w:bidi="ar-SA"/>
    </w:rPr>
  </w:style>
  <w:style w:type="character" w:customStyle="1" w:styleId="41">
    <w:name w:val="正文缩进 Char"/>
    <w:link w:val="5"/>
    <w:qFormat/>
    <w:uiPriority w:val="0"/>
    <w:rPr>
      <w:rFonts w:eastAsia="宋体"/>
      <w:kern w:val="2"/>
      <w:sz w:val="21"/>
      <w:lang w:val="en-US" w:eastAsia="zh-CN" w:bidi="ar-SA"/>
    </w:rPr>
  </w:style>
  <w:style w:type="character" w:customStyle="1" w:styleId="42">
    <w:name w:val="标题 3 Char"/>
    <w:link w:val="6"/>
    <w:qFormat/>
    <w:locked/>
    <w:uiPriority w:val="9"/>
    <w:rPr>
      <w:rFonts w:eastAsia="黑体"/>
      <w:b/>
      <w:kern w:val="2"/>
      <w:sz w:val="32"/>
    </w:rPr>
  </w:style>
  <w:style w:type="character" w:customStyle="1" w:styleId="43">
    <w:name w:val="批注文字 Char"/>
    <w:link w:val="9"/>
    <w:qFormat/>
    <w:uiPriority w:val="99"/>
    <w:rPr>
      <w:kern w:val="2"/>
      <w:sz w:val="21"/>
      <w:szCs w:val="24"/>
    </w:rPr>
  </w:style>
  <w:style w:type="character" w:customStyle="1" w:styleId="44">
    <w:name w:val="正文文本 Char"/>
    <w:link w:val="10"/>
    <w:qFormat/>
    <w:uiPriority w:val="0"/>
    <w:rPr>
      <w:kern w:val="2"/>
      <w:sz w:val="21"/>
      <w:szCs w:val="21"/>
    </w:rPr>
  </w:style>
  <w:style w:type="character" w:customStyle="1" w:styleId="45">
    <w:name w:val="正文文本缩进 Char"/>
    <w:link w:val="11"/>
    <w:qFormat/>
    <w:uiPriority w:val="0"/>
    <w:rPr>
      <w:kern w:val="2"/>
      <w:sz w:val="21"/>
    </w:rPr>
  </w:style>
  <w:style w:type="character" w:customStyle="1" w:styleId="46">
    <w:name w:val="纯文本 Char"/>
    <w:link w:val="12"/>
    <w:qFormat/>
    <w:uiPriority w:val="0"/>
    <w:rPr>
      <w:rFonts w:ascii="宋体" w:hAnsi="Courier New"/>
      <w:sz w:val="21"/>
    </w:rPr>
  </w:style>
  <w:style w:type="character" w:customStyle="1" w:styleId="47">
    <w:name w:val="批注框文本 Char"/>
    <w:link w:val="16"/>
    <w:qFormat/>
    <w:uiPriority w:val="0"/>
    <w:rPr>
      <w:kern w:val="2"/>
      <w:sz w:val="18"/>
      <w:szCs w:val="18"/>
    </w:rPr>
  </w:style>
  <w:style w:type="character" w:customStyle="1" w:styleId="48">
    <w:name w:val="页脚 Char"/>
    <w:link w:val="17"/>
    <w:qFormat/>
    <w:uiPriority w:val="99"/>
    <w:rPr>
      <w:rFonts w:eastAsia="宋体"/>
      <w:kern w:val="2"/>
      <w:sz w:val="18"/>
      <w:lang w:val="en-US" w:eastAsia="zh-CN" w:bidi="ar-SA"/>
    </w:rPr>
  </w:style>
  <w:style w:type="character" w:customStyle="1" w:styleId="49">
    <w:name w:val="页眉 Char"/>
    <w:link w:val="18"/>
    <w:qFormat/>
    <w:uiPriority w:val="0"/>
    <w:rPr>
      <w:rFonts w:eastAsia="宋体"/>
      <w:kern w:val="2"/>
      <w:sz w:val="18"/>
      <w:lang w:val="en-US" w:eastAsia="zh-CN" w:bidi="ar-SA"/>
    </w:rPr>
  </w:style>
  <w:style w:type="character" w:customStyle="1" w:styleId="50">
    <w:name w:val="标题 Char"/>
    <w:link w:val="21"/>
    <w:qFormat/>
    <w:uiPriority w:val="0"/>
    <w:rPr>
      <w:rFonts w:ascii="Cambria" w:hAnsi="Cambria"/>
      <w:b/>
      <w:bCs/>
      <w:kern w:val="2"/>
      <w:sz w:val="32"/>
      <w:szCs w:val="32"/>
    </w:rPr>
  </w:style>
  <w:style w:type="character" w:customStyle="1" w:styleId="51">
    <w:name w:val="font11"/>
    <w:qFormat/>
    <w:uiPriority w:val="0"/>
    <w:rPr>
      <w:rFonts w:hint="default" w:ascii="Times New Roman" w:hAnsi="Times New Roman" w:cs="Times New Roman"/>
      <w:color w:val="000000"/>
      <w:sz w:val="24"/>
      <w:szCs w:val="24"/>
      <w:u w:val="none"/>
    </w:rPr>
  </w:style>
  <w:style w:type="character" w:customStyle="1" w:styleId="52">
    <w:name w:val="mini-outputtext1"/>
    <w:qFormat/>
    <w:uiPriority w:val="0"/>
  </w:style>
  <w:style w:type="character" w:customStyle="1" w:styleId="53">
    <w:name w:val="font41"/>
    <w:qFormat/>
    <w:uiPriority w:val="0"/>
    <w:rPr>
      <w:rFonts w:hint="eastAsia" w:ascii="宋体" w:hAnsi="宋体" w:eastAsia="宋体" w:cs="宋体"/>
      <w:color w:val="000000"/>
      <w:sz w:val="20"/>
      <w:szCs w:val="20"/>
      <w:u w:val="single"/>
    </w:rPr>
  </w:style>
  <w:style w:type="character" w:customStyle="1" w:styleId="54">
    <w:name w:val="标题 1 Char Char"/>
    <w:qFormat/>
    <w:uiPriority w:val="0"/>
    <w:rPr>
      <w:rFonts w:eastAsia="宋体"/>
      <w:b/>
      <w:spacing w:val="-2"/>
      <w:sz w:val="24"/>
      <w:lang w:val="en-US" w:eastAsia="zh-CN" w:bidi="ar-SA"/>
    </w:rPr>
  </w:style>
  <w:style w:type="character" w:customStyle="1" w:styleId="55">
    <w:name w:val="正文缩进2格 Char"/>
    <w:link w:val="56"/>
    <w:qFormat/>
    <w:locked/>
    <w:uiPriority w:val="0"/>
    <w:rPr>
      <w:rFonts w:ascii="仿宋_GB2312" w:hAnsi="宋体" w:eastAsia="仿宋_GB2312"/>
      <w:kern w:val="2"/>
      <w:sz w:val="31"/>
      <w:szCs w:val="28"/>
    </w:rPr>
  </w:style>
  <w:style w:type="paragraph" w:customStyle="1" w:styleId="56">
    <w:name w:val="正文缩进2格"/>
    <w:basedOn w:val="1"/>
    <w:link w:val="55"/>
    <w:qFormat/>
    <w:uiPriority w:val="0"/>
    <w:pPr>
      <w:spacing w:line="600" w:lineRule="exact"/>
      <w:ind w:firstLine="639" w:firstLineChars="206"/>
    </w:pPr>
    <w:rPr>
      <w:rFonts w:ascii="仿宋_GB2312" w:hAnsi="宋体" w:eastAsia="仿宋_GB2312"/>
      <w:sz w:val="31"/>
      <w:szCs w:val="28"/>
    </w:rPr>
  </w:style>
  <w:style w:type="character" w:customStyle="1" w:styleId="57">
    <w:name w:val="font01"/>
    <w:qFormat/>
    <w:uiPriority w:val="0"/>
    <w:rPr>
      <w:rFonts w:hint="eastAsia" w:ascii="宋体" w:hAnsi="宋体" w:eastAsia="宋体" w:cs="宋体"/>
      <w:color w:val="000000"/>
      <w:sz w:val="24"/>
      <w:szCs w:val="24"/>
      <w:u w:val="none"/>
    </w:rPr>
  </w:style>
  <w:style w:type="character" w:customStyle="1" w:styleId="58">
    <w:name w:val="批注文字 Char1"/>
    <w:qFormat/>
    <w:uiPriority w:val="0"/>
    <w:rPr>
      <w:kern w:val="2"/>
      <w:sz w:val="21"/>
    </w:rPr>
  </w:style>
  <w:style w:type="character" w:customStyle="1" w:styleId="59">
    <w:name w:val="Address Char"/>
    <w:link w:val="60"/>
    <w:qFormat/>
    <w:uiPriority w:val="0"/>
    <w:rPr>
      <w:i/>
      <w:sz w:val="24"/>
    </w:rPr>
  </w:style>
  <w:style w:type="paragraph" w:customStyle="1" w:styleId="60">
    <w:name w:val="Address"/>
    <w:basedOn w:val="1"/>
    <w:next w:val="1"/>
    <w:link w:val="59"/>
    <w:qFormat/>
    <w:uiPriority w:val="0"/>
    <w:pPr>
      <w:autoSpaceDE w:val="0"/>
      <w:autoSpaceDN w:val="0"/>
      <w:adjustRightInd w:val="0"/>
      <w:jc w:val="left"/>
    </w:pPr>
    <w:rPr>
      <w:i/>
      <w:kern w:val="0"/>
      <w:sz w:val="24"/>
    </w:rPr>
  </w:style>
  <w:style w:type="character" w:customStyle="1" w:styleId="61">
    <w:name w:val="正文文本缩进 Char2"/>
    <w:qFormat/>
    <w:uiPriority w:val="0"/>
    <w:rPr>
      <w:kern w:val="2"/>
      <w:sz w:val="21"/>
    </w:rPr>
  </w:style>
  <w:style w:type="character" w:customStyle="1" w:styleId="62">
    <w:name w:val="正文文本缩进 Char1"/>
    <w:qFormat/>
    <w:uiPriority w:val="0"/>
    <w:rPr>
      <w:kern w:val="2"/>
      <w:sz w:val="21"/>
    </w:rPr>
  </w:style>
  <w:style w:type="character" w:customStyle="1" w:styleId="63">
    <w:name w:val="font21"/>
    <w:qFormat/>
    <w:uiPriority w:val="0"/>
    <w:rPr>
      <w:rFonts w:hint="default" w:ascii="Times New Roman" w:hAnsi="Times New Roman" w:cs="Times New Roman"/>
      <w:color w:val="000000"/>
      <w:sz w:val="24"/>
      <w:szCs w:val="24"/>
      <w:u w:val="none"/>
    </w:rPr>
  </w:style>
  <w:style w:type="character" w:customStyle="1" w:styleId="64">
    <w:name w:val="正文段落内容 Char"/>
    <w:link w:val="65"/>
    <w:qFormat/>
    <w:uiPriority w:val="0"/>
    <w:rPr>
      <w:sz w:val="21"/>
      <w:szCs w:val="24"/>
      <w:lang w:bidi="en-US"/>
    </w:rPr>
  </w:style>
  <w:style w:type="paragraph" w:customStyle="1" w:styleId="65">
    <w:name w:val="正文段落内容"/>
    <w:basedOn w:val="1"/>
    <w:link w:val="64"/>
    <w:qFormat/>
    <w:uiPriority w:val="0"/>
    <w:pPr>
      <w:ind w:firstLine="200" w:firstLineChars="200"/>
      <w:jc w:val="left"/>
    </w:pPr>
    <w:rPr>
      <w:kern w:val="0"/>
      <w:szCs w:val="24"/>
      <w:lang w:bidi="en-US"/>
    </w:rPr>
  </w:style>
  <w:style w:type="character" w:customStyle="1" w:styleId="66">
    <w:name w:val="列出段落 Char"/>
    <w:link w:val="67"/>
    <w:qFormat/>
    <w:uiPriority w:val="0"/>
    <w:rPr>
      <w:kern w:val="2"/>
      <w:sz w:val="21"/>
      <w:szCs w:val="24"/>
    </w:rPr>
  </w:style>
  <w:style w:type="paragraph" w:styleId="67">
    <w:name w:val="List Paragraph"/>
    <w:basedOn w:val="1"/>
    <w:link w:val="66"/>
    <w:qFormat/>
    <w:uiPriority w:val="0"/>
    <w:pPr>
      <w:ind w:firstLine="420" w:firstLineChars="200"/>
    </w:pPr>
    <w:rPr>
      <w:szCs w:val="24"/>
    </w:rPr>
  </w:style>
  <w:style w:type="paragraph" w:customStyle="1" w:styleId="68">
    <w:name w:val="列项"/>
    <w:basedOn w:val="1"/>
    <w:qFormat/>
    <w:uiPriority w:val="0"/>
    <w:pPr>
      <w:widowControl/>
      <w:numPr>
        <w:ilvl w:val="0"/>
        <w:numId w:val="1"/>
      </w:numPr>
      <w:jc w:val="left"/>
    </w:pPr>
    <w:rPr>
      <w:rFonts w:ascii="宋体" w:eastAsia="仿宋"/>
      <w:sz w:val="28"/>
      <w:szCs w:val="24"/>
    </w:rPr>
  </w:style>
  <w:style w:type="paragraph" w:customStyle="1" w:styleId="69">
    <w:name w:val="List Paragraph1"/>
    <w:basedOn w:val="1"/>
    <w:qFormat/>
    <w:uiPriority w:val="99"/>
  </w:style>
  <w:style w:type="paragraph" w:customStyle="1" w:styleId="70">
    <w:name w:val="Table Paragraph"/>
    <w:basedOn w:val="1"/>
    <w:qFormat/>
    <w:uiPriority w:val="1"/>
    <w:pPr>
      <w:autoSpaceDE w:val="0"/>
      <w:autoSpaceDN w:val="0"/>
      <w:jc w:val="center"/>
    </w:pPr>
    <w:rPr>
      <w:rFonts w:eastAsia="Times New Roman"/>
      <w:kern w:val="0"/>
      <w:sz w:val="22"/>
      <w:szCs w:val="22"/>
      <w:lang w:val="zh-CN" w:bidi="zh-CN"/>
    </w:rPr>
  </w:style>
  <w:style w:type="paragraph" w:customStyle="1" w:styleId="71">
    <w:name w:val="Char Char Char Char"/>
    <w:basedOn w:val="8"/>
    <w:qFormat/>
    <w:uiPriority w:val="0"/>
    <w:rPr>
      <w:rFonts w:ascii="Tahoma" w:hAnsi="Tahoma"/>
      <w:sz w:val="24"/>
      <w:szCs w:val="24"/>
    </w:rPr>
  </w:style>
  <w:style w:type="paragraph" w:customStyle="1" w:styleId="7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3">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正"/>
    <w:basedOn w:val="1"/>
    <w:qFormat/>
    <w:uiPriority w:val="0"/>
    <w:pPr>
      <w:spacing w:line="360" w:lineRule="auto"/>
      <w:ind w:left="360" w:hanging="360" w:hangingChars="150"/>
    </w:pPr>
    <w:rPr>
      <w:sz w:val="24"/>
      <w:szCs w:val="24"/>
    </w:rPr>
  </w:style>
  <w:style w:type="paragraph" w:customStyle="1" w:styleId="75">
    <w:name w:val="Char Char1 Char Char Char Char Char Char Char"/>
    <w:basedOn w:val="1"/>
    <w:qFormat/>
    <w:uiPriority w:val="0"/>
  </w:style>
  <w:style w:type="paragraph" w:customStyle="1" w:styleId="76">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Char Char1 Char Char Char Char Char Char Char1"/>
    <w:basedOn w:val="1"/>
    <w:qFormat/>
    <w:uiPriority w:val="0"/>
  </w:style>
  <w:style w:type="paragraph" w:customStyle="1" w:styleId="78">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79">
    <w:name w:val="正文_0_0"/>
    <w:basedOn w:val="1"/>
    <w:qFormat/>
    <w:uiPriority w:val="0"/>
    <w:rPr>
      <w:szCs w:val="24"/>
    </w:rPr>
  </w:style>
  <w:style w:type="paragraph" w:customStyle="1" w:styleId="80">
    <w:name w:val="Char Char1"/>
    <w:basedOn w:val="1"/>
    <w:qFormat/>
    <w:uiPriority w:val="0"/>
    <w:rPr>
      <w:szCs w:val="24"/>
    </w:rPr>
  </w:style>
  <w:style w:type="paragraph" w:customStyle="1" w:styleId="81">
    <w:name w:val="默认段落字体 Para Char Char Char Char"/>
    <w:basedOn w:val="1"/>
    <w:qFormat/>
    <w:uiPriority w:val="0"/>
  </w:style>
  <w:style w:type="paragraph" w:customStyle="1" w:styleId="82">
    <w:name w:val="p0"/>
    <w:qFormat/>
    <w:uiPriority w:val="0"/>
    <w:rPr>
      <w:rFonts w:ascii="Times New Roman" w:hAnsi="Times New Roman" w:eastAsia="宋体" w:cs="Times New Roman"/>
      <w:szCs w:val="21"/>
      <w:lang w:val="en-US" w:eastAsia="zh-CN" w:bidi="ar-SA"/>
    </w:rPr>
  </w:style>
  <w:style w:type="paragraph" w:customStyle="1" w:styleId="83">
    <w:name w:val="_Style 26"/>
    <w:next w:val="1"/>
    <w:qFormat/>
    <w:uiPriority w:val="0"/>
    <w:pPr>
      <w:widowControl w:val="0"/>
      <w:jc w:val="both"/>
    </w:pPr>
    <w:rPr>
      <w:rFonts w:ascii="Times New Roman" w:hAnsi="Times New Roman" w:eastAsia="宋体" w:cs="Times New Roman"/>
      <w:kern w:val="2"/>
      <w:sz w:val="21"/>
      <w:lang w:val="en-US" w:eastAsia="zh-CN" w:bidi="ar-SA"/>
    </w:rPr>
  </w:style>
  <w:style w:type="table" w:customStyle="1" w:styleId="84">
    <w:name w:val="网格型1"/>
    <w:basedOn w:val="2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首行缩进"/>
    <w:basedOn w:val="1"/>
    <w:qFormat/>
    <w:uiPriority w:val="0"/>
    <w:pPr>
      <w:spacing w:line="360" w:lineRule="auto"/>
      <w:ind w:firstLine="480" w:firstLineChars="200"/>
      <w:jc w:val="left"/>
    </w:pPr>
    <w:rPr>
      <w:rFonts w:ascii="宋体" w:hAnsi="宋体"/>
      <w:sz w:val="24"/>
    </w:rPr>
  </w:style>
  <w:style w:type="character" w:customStyle="1" w:styleId="86">
    <w:name w:val="active"/>
    <w:qFormat/>
    <w:uiPriority w:val="0"/>
    <w:rPr>
      <w:bdr w:val="single" w:color="FFFFFF" w:sz="12" w:space="0"/>
    </w:rPr>
  </w:style>
  <w:style w:type="character" w:customStyle="1" w:styleId="87">
    <w:name w:val="active1"/>
    <w:qFormat/>
    <w:uiPriority w:val="0"/>
    <w:rPr>
      <w:shd w:val="clear" w:color="auto" w:fill="FF0000"/>
    </w:rPr>
  </w:style>
  <w:style w:type="character" w:customStyle="1" w:styleId="88">
    <w:name w:val="active2"/>
    <w:qFormat/>
    <w:uiPriority w:val="0"/>
    <w:rPr>
      <w:shd w:val="clear" w:color="auto" w:fill="004EA2"/>
    </w:rPr>
  </w:style>
  <w:style w:type="character" w:customStyle="1" w:styleId="89">
    <w:name w:val="active3"/>
    <w:qFormat/>
    <w:uiPriority w:val="0"/>
    <w:rPr>
      <w:shd w:val="clear" w:color="auto" w:fill="004EA2"/>
    </w:rPr>
  </w:style>
  <w:style w:type="character" w:customStyle="1" w:styleId="90">
    <w:name w:val="btn-inner"/>
    <w:qFormat/>
    <w:uiPriority w:val="0"/>
  </w:style>
  <w:style w:type="character" w:customStyle="1" w:styleId="91">
    <w:name w:val="btn-inner1"/>
    <w:qFormat/>
    <w:uiPriority w:val="0"/>
  </w:style>
  <w:style w:type="character" w:customStyle="1" w:styleId="92">
    <w:name w:val="selected2"/>
    <w:qFormat/>
    <w:uiPriority w:val="0"/>
  </w:style>
  <w:style w:type="character" w:customStyle="1" w:styleId="93">
    <w:name w:val="swiper-pagination-bullet-active18"/>
    <w:qFormat/>
    <w:uiPriority w:val="0"/>
    <w:rPr>
      <w:shd w:val="clear" w:color="auto" w:fill="FF6600"/>
    </w:rPr>
  </w:style>
  <w:style w:type="character" w:customStyle="1" w:styleId="94">
    <w:name w:val="swiper-pagination-bullet-active19"/>
    <w:qFormat/>
    <w:uiPriority w:val="0"/>
    <w:rPr>
      <w:shd w:val="clear" w:color="auto" w:fill="FF6600"/>
    </w:rPr>
  </w:style>
  <w:style w:type="character" w:customStyle="1" w:styleId="95">
    <w:name w:val="swiper-pagination-bullet-active20"/>
    <w:qFormat/>
    <w:uiPriority w:val="0"/>
  </w:style>
  <w:style w:type="character" w:customStyle="1" w:styleId="96">
    <w:name w:val="before"/>
    <w:qFormat/>
    <w:uiPriority w:val="0"/>
    <w:rPr>
      <w:vanish/>
      <w:bdr w:val="single" w:color="FF6600" w:sz="6" w:space="0"/>
    </w:rPr>
  </w:style>
  <w:style w:type="character" w:customStyle="1" w:styleId="97">
    <w:name w:val="before1"/>
    <w:qFormat/>
    <w:uiPriority w:val="0"/>
  </w:style>
  <w:style w:type="character" w:customStyle="1" w:styleId="98">
    <w:name w:val="before2"/>
    <w:qFormat/>
    <w:uiPriority w:val="0"/>
  </w:style>
  <w:style w:type="character" w:customStyle="1" w:styleId="99">
    <w:name w:val="before3"/>
    <w:qFormat/>
    <w:uiPriority w:val="0"/>
    <w:rPr>
      <w:vanish/>
      <w:shd w:val="clear" w:color="auto" w:fill="FFFFFF"/>
    </w:rPr>
  </w:style>
  <w:style w:type="character" w:customStyle="1" w:styleId="100">
    <w:name w:val="on"/>
    <w:qFormat/>
    <w:uiPriority w:val="0"/>
    <w:rPr>
      <w:sz w:val="33"/>
      <w:szCs w:val="33"/>
    </w:rPr>
  </w:style>
  <w:style w:type="character" w:customStyle="1" w:styleId="101">
    <w:name w:val="on1"/>
    <w:qFormat/>
    <w:uiPriority w:val="0"/>
    <w:rPr>
      <w:color w:val="222222"/>
      <w:sz w:val="48"/>
      <w:szCs w:val="48"/>
    </w:rPr>
  </w:style>
  <w:style w:type="paragraph" w:customStyle="1" w:styleId="102">
    <w:name w:val="正文_1_0"/>
    <w:basedOn w:val="1"/>
    <w:qFormat/>
    <w:uiPriority w:val="0"/>
    <w:rPr>
      <w:szCs w:val="24"/>
    </w:rPr>
  </w:style>
  <w:style w:type="paragraph" w:customStyle="1" w:styleId="103">
    <w:name w:val="Char"/>
    <w:basedOn w:val="1"/>
    <w:qFormat/>
    <w:uiPriority w:val="0"/>
    <w:pPr>
      <w:tabs>
        <w:tab w:val="left" w:pos="360"/>
      </w:tabs>
      <w:ind w:firstLine="200" w:firstLineChars="200"/>
    </w:pPr>
    <w:rPr>
      <w:sz w:val="28"/>
      <w:szCs w:val="30"/>
    </w:rPr>
  </w:style>
  <w:style w:type="paragraph" w:customStyle="1" w:styleId="104">
    <w:name w:val="样式5"/>
    <w:basedOn w:val="6"/>
    <w:qFormat/>
    <w:uiPriority w:val="0"/>
    <w:pPr>
      <w:spacing w:line="415" w:lineRule="auto"/>
    </w:pPr>
    <w:rPr>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10492</Words>
  <Characters>11088</Characters>
  <Lines>88</Lines>
  <Paragraphs>25</Paragraphs>
  <TotalTime>29</TotalTime>
  <ScaleCrop>false</ScaleCrop>
  <LinksUpToDate>false</LinksUpToDate>
  <CharactersWithSpaces>11649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2018-03-02T08:37:00Z</dcterms:created>
  <dc:creator>中国名望</dc:creator>
  <cp:lastModifiedBy>Administrator</cp:lastModifiedBy>
  <cp:lastPrinted>2021-11-18T09:19:00Z</cp:lastPrinted>
  <dcterms:modified xsi:type="dcterms:W3CDTF">2025-07-11T02:29:51Z</dcterms:modified>
  <dc:title>海门市政府采购招标文件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E77995AD6CD544F5AF39932C3FE9FEFF_13</vt:lpwstr>
  </property>
  <property fmtid="{D5CDD505-2E9C-101B-9397-08002B2CF9AE}" pid="4" name="KSOTemplateDocerSaveRecord">
    <vt:lpwstr>eyJoZGlkIjoiNzVmNWFhMjg3NDFjYWEyYThlNzY4ZmJhZGY3NWJmNjUiLCJ1c2VySWQiOiI0NzgzMzIyOTcifQ==</vt:lpwstr>
  </property>
</Properties>
</file>