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6B891">
      <w:pPr>
        <w:spacing w:line="560" w:lineRule="exact"/>
        <w:jc w:val="center"/>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val="en-US" w:eastAsia="zh-CN"/>
        </w:rPr>
        <w:t>洋口港经济开发区</w:t>
      </w: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4</w:t>
      </w:r>
      <w:r>
        <w:rPr>
          <w:rFonts w:hint="default" w:ascii="Times New Roman" w:hAnsi="Times New Roman" w:eastAsia="方正小标宋_GBK" w:cs="Times New Roman"/>
          <w:sz w:val="44"/>
          <w:szCs w:val="44"/>
        </w:rPr>
        <w:t>年</w:t>
      </w:r>
    </w:p>
    <w:p w14:paraId="3970A423">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政府信息公开工作年度报告</w:t>
      </w:r>
    </w:p>
    <w:p w14:paraId="4C77E5F5"/>
    <w:p w14:paraId="116F8D9F">
      <w:pPr>
        <w:ind w:firstLine="640" w:firstLineChars="200"/>
        <w:rPr>
          <w:rFonts w:ascii="方正黑体_GBK" w:eastAsia="方正黑体_GBK" w:cs="方正黑体_GBK"/>
          <w:sz w:val="32"/>
          <w:szCs w:val="32"/>
        </w:rPr>
      </w:pPr>
      <w:r>
        <w:rPr>
          <w:rFonts w:hint="eastAsia" w:ascii="方正黑体_GBK" w:eastAsia="方正黑体_GBK" w:cs="方正黑体_GBK"/>
          <w:sz w:val="32"/>
          <w:szCs w:val="32"/>
        </w:rPr>
        <w:t>一、总体情况</w:t>
      </w:r>
    </w:p>
    <w:p w14:paraId="0046D30C">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根据《中华人民共和国政府信息公开条例》规定,《洋口港经济开发区202</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4</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年政府信息公开工作年度报告》已经研究同意，现予公开发布。</w:t>
      </w:r>
    </w:p>
    <w:p w14:paraId="7EF13D88">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eastAsia" w:ascii="黑体" w:hAnsi="黑体" w:eastAsia="黑体" w:cs="黑体"/>
          <w:color w:val="000000" w:themeColor="text1"/>
          <w:kern w:val="0"/>
          <w:sz w:val="32"/>
          <w:szCs w:val="32"/>
          <w:lang w:val="en-US" w:eastAsia="zh-CN" w:bidi="ar-SA"/>
          <w14:textFill>
            <w14:solidFill>
              <w14:schemeClr w14:val="tx1"/>
            </w14:solidFill>
          </w14:textFill>
        </w:rPr>
      </w:pPr>
      <w:r>
        <w:rPr>
          <w:rFonts w:hint="eastAsia" w:ascii="黑体" w:hAnsi="黑体" w:eastAsia="黑体" w:cs="黑体"/>
          <w:color w:val="000000" w:themeColor="text1"/>
          <w:kern w:val="0"/>
          <w:sz w:val="32"/>
          <w:szCs w:val="32"/>
          <w:lang w:val="en-US" w:eastAsia="zh-CN" w:bidi="ar-SA"/>
          <w14:textFill>
            <w14:solidFill>
              <w14:schemeClr w14:val="tx1"/>
            </w14:solidFill>
          </w14:textFill>
        </w:rPr>
        <w:t xml:space="preserve">一、2024年政府信息公开总体情况  </w:t>
      </w:r>
    </w:p>
    <w:p w14:paraId="3EBFB4C7">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202</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4</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年，在县委、县政府的正确领导下，在县政府信息中心的统一部署和具体指导下，洋口港经济开发区深入贯彻落实中央和省市县委的各项决策部署，</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聚焦中心促发展，深入</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基层</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优服务。</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坚持以习近平新时代中国特色社会主义思想为指导，认真学习贯彻</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党的二十大精神，</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深入贯彻落实《中华人民共和国政府信息公开条例》和省市县有关政府信息公开的文件精神，创新创造公开方式，全面推进权力运行全流程、政务服务全过程公开，以公开促落实、以公开促规范、以公开促服务，进一步提升在全县发展大局中的贡献度，坚决扛起县委</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县政府</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赋予的“勇</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担全县高质量发展最强增长极</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的</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光荣使命</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，勇当沿海高质量发展先行军，走在前、作贡献。</w:t>
      </w:r>
    </w:p>
    <w:p w14:paraId="63EE0A49">
      <w:pPr>
        <w:keepNext w:val="0"/>
        <w:keepLines w:val="0"/>
        <w:pageBreakBefore w:val="0"/>
        <w:widowControl/>
        <w:kinsoku/>
        <w:wordWrap/>
        <w:overflowPunct/>
        <w:topLinePunct w:val="0"/>
        <w:autoSpaceDE/>
        <w:autoSpaceDN/>
        <w:bidi w:val="0"/>
        <w:adjustRightInd/>
        <w:spacing w:line="590" w:lineRule="exact"/>
        <w:ind w:firstLine="643" w:firstLineChars="200"/>
        <w:textAlignment w:val="baseline"/>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Style w:val="8"/>
          <w:rFonts w:hint="eastAsia" w:ascii="Times New Roman" w:hAnsi="Times New Roman" w:eastAsia="楷体_GB2312" w:cs="Times New Roman"/>
          <w:b/>
          <w:bCs/>
          <w:i w:val="0"/>
          <w:caps w:val="0"/>
          <w:spacing w:val="0"/>
          <w:w w:val="100"/>
          <w:sz w:val="32"/>
          <w:szCs w:val="32"/>
          <w:lang w:val="en-US" w:eastAsia="zh-CN"/>
        </w:rPr>
        <w:t>（一）以更加有力的措施推进政府信息公开。</w:t>
      </w:r>
      <w:r>
        <w:rPr>
          <w:rStyle w:val="8"/>
          <w:rFonts w:hint="default" w:ascii="Times New Roman" w:hAnsi="Times New Roman" w:eastAsia="仿宋_GB2312" w:cs="Times New Roman"/>
          <w:b/>
          <w:bCs/>
          <w:i w:val="0"/>
          <w:caps w:val="0"/>
          <w:spacing w:val="0"/>
          <w:w w:val="100"/>
          <w:sz w:val="32"/>
          <w:szCs w:val="32"/>
          <w:lang w:val="en-US" w:eastAsia="zh-CN"/>
        </w:rPr>
        <w:t>一是思想</w:t>
      </w:r>
      <w:r>
        <w:rPr>
          <w:rStyle w:val="8"/>
          <w:rFonts w:hint="eastAsia" w:ascii="Times New Roman" w:hAnsi="Times New Roman" w:eastAsia="仿宋_GB2312" w:cs="Times New Roman"/>
          <w:b/>
          <w:bCs/>
          <w:i w:val="0"/>
          <w:caps w:val="0"/>
          <w:spacing w:val="0"/>
          <w:w w:val="100"/>
          <w:sz w:val="32"/>
          <w:szCs w:val="32"/>
          <w:lang w:val="en-US" w:eastAsia="zh-CN"/>
        </w:rPr>
        <w:t>认识再提升</w:t>
      </w:r>
      <w:r>
        <w:rPr>
          <w:rStyle w:val="8"/>
          <w:rFonts w:hint="default" w:ascii="Times New Roman" w:hAnsi="Times New Roman" w:eastAsia="仿宋_GB2312" w:cs="Times New Roman"/>
          <w:b/>
          <w:bCs/>
          <w:i w:val="0"/>
          <w:caps w:val="0"/>
          <w:spacing w:val="0"/>
          <w:w w:val="100"/>
          <w:sz w:val="32"/>
          <w:szCs w:val="32"/>
          <w:lang w:val="en-US" w:eastAsia="zh-CN"/>
        </w:rPr>
        <w: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为进一步规范政府信息公开，</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提升信息公开联络员的思想认识，</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在领导小组、信息公开监督管理小组有序运转的基础上，</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进一步明确各自</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责任，</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强化全区各部门以及</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信息公开联络员</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对信息公开</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工作</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的重视</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提高</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信息报送质量。二</w:t>
      </w:r>
      <w:r>
        <w:rPr>
          <w:rStyle w:val="8"/>
          <w:rFonts w:hint="default" w:ascii="Times New Roman" w:hAnsi="Times New Roman" w:eastAsia="仿宋_GB2312" w:cs="Times New Roman"/>
          <w:b/>
          <w:bCs/>
          <w:i w:val="0"/>
          <w:caps w:val="0"/>
          <w:spacing w:val="0"/>
          <w:w w:val="100"/>
          <w:sz w:val="32"/>
          <w:szCs w:val="32"/>
          <w:lang w:val="en-US" w:eastAsia="zh-CN"/>
        </w:rPr>
        <w:t>是</w:t>
      </w:r>
      <w:r>
        <w:rPr>
          <w:rStyle w:val="8"/>
          <w:rFonts w:hint="eastAsia" w:ascii="Times New Roman" w:hAnsi="Times New Roman" w:eastAsia="仿宋_GB2312" w:cs="Times New Roman"/>
          <w:b/>
          <w:bCs/>
          <w:i w:val="0"/>
          <w:caps w:val="0"/>
          <w:spacing w:val="0"/>
          <w:w w:val="100"/>
          <w:sz w:val="32"/>
          <w:szCs w:val="32"/>
          <w:lang w:val="en-US" w:eastAsia="zh-CN"/>
        </w:rPr>
        <w:t>部门分工再明确</w:t>
      </w:r>
      <w:r>
        <w:rPr>
          <w:rStyle w:val="8"/>
          <w:rFonts w:hint="default" w:ascii="Times New Roman" w:hAnsi="Times New Roman" w:eastAsia="仿宋_GB2312" w:cs="Times New Roman"/>
          <w:b/>
          <w:bCs/>
          <w:i w:val="0"/>
          <w:caps w:val="0"/>
          <w:spacing w:val="0"/>
          <w:w w:val="100"/>
          <w:sz w:val="32"/>
          <w:szCs w:val="32"/>
          <w:lang w:val="en-US" w:eastAsia="zh-CN"/>
        </w:rPr>
        <w: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明确由区党政办公室</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统筹</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、机关各局室予以配合的政府信息公开管理制度。党政办公室</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以及各个局室均严格</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按照“三审三核”制度</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进行信息公开审查</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，三审确认无误后方可进行公开，严把政治关、法律关、保密关、文字关。</w:t>
      </w:r>
      <w:r>
        <w:rPr>
          <w:rStyle w:val="8"/>
          <w:rFonts w:hint="default" w:ascii="Times New Roman" w:hAnsi="Times New Roman" w:eastAsia="仿宋_GB2312" w:cs="Times New Roman"/>
          <w:b/>
          <w:bCs/>
          <w:i w:val="0"/>
          <w:caps w:val="0"/>
          <w:spacing w:val="0"/>
          <w:w w:val="100"/>
          <w:sz w:val="32"/>
          <w:szCs w:val="32"/>
          <w:lang w:val="en-US" w:eastAsia="zh-CN"/>
        </w:rPr>
        <w:t>三是</w:t>
      </w:r>
      <w:r>
        <w:rPr>
          <w:rStyle w:val="8"/>
          <w:rFonts w:hint="eastAsia" w:ascii="Times New Roman" w:hAnsi="Times New Roman" w:eastAsia="仿宋_GB2312" w:cs="Times New Roman"/>
          <w:b/>
          <w:bCs/>
          <w:i w:val="0"/>
          <w:caps w:val="0"/>
          <w:spacing w:val="0"/>
          <w:w w:val="100"/>
          <w:sz w:val="32"/>
          <w:szCs w:val="32"/>
          <w:lang w:val="en-US" w:eastAsia="zh-CN"/>
        </w:rPr>
        <w:t>工作能力再强化</w:t>
      </w:r>
      <w:r>
        <w:rPr>
          <w:rStyle w:val="8"/>
          <w:rFonts w:hint="default" w:ascii="Times New Roman" w:hAnsi="Times New Roman" w:eastAsia="仿宋_GB2312" w:cs="Times New Roman"/>
          <w:b/>
          <w:bCs/>
          <w:i w:val="0"/>
          <w:caps w:val="0"/>
          <w:spacing w:val="0"/>
          <w:w w:val="100"/>
          <w:sz w:val="32"/>
          <w:szCs w:val="32"/>
          <w:lang w:val="en-US" w:eastAsia="zh-CN"/>
        </w:rPr>
        <w: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积极参加政府信息与政务公开培训，组织学习《中华人民共和国政府信息公开条例》《信息保密制度》</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信息安全等规范文件资料，准确理解掌握《条例》等相关规定，并应用于实际工作中，切实增强公开意识和能力，做到思想自觉和行动自觉。</w:t>
      </w:r>
      <w:r>
        <w:rPr>
          <w:rStyle w:val="8"/>
          <w:rFonts w:hint="default" w:ascii="Times New Roman" w:hAnsi="Times New Roman" w:eastAsia="仿宋_GB2312" w:cs="Times New Roman"/>
          <w:b/>
          <w:bCs/>
          <w:i w:val="0"/>
          <w:caps w:val="0"/>
          <w:spacing w:val="0"/>
          <w:w w:val="100"/>
          <w:sz w:val="32"/>
          <w:szCs w:val="32"/>
          <w:lang w:val="en-US" w:eastAsia="zh-CN"/>
        </w:rPr>
        <w:t>四是奖惩</w:t>
      </w:r>
      <w:r>
        <w:rPr>
          <w:rStyle w:val="8"/>
          <w:rFonts w:hint="eastAsia" w:ascii="Times New Roman" w:hAnsi="Times New Roman" w:eastAsia="仿宋_GB2312" w:cs="Times New Roman"/>
          <w:b/>
          <w:bCs/>
          <w:i w:val="0"/>
          <w:caps w:val="0"/>
          <w:spacing w:val="0"/>
          <w:w w:val="100"/>
          <w:sz w:val="32"/>
          <w:szCs w:val="32"/>
          <w:lang w:val="en-US" w:eastAsia="zh-CN"/>
        </w:rPr>
        <w:t>机制再完善</w:t>
      </w:r>
      <w:r>
        <w:rPr>
          <w:rStyle w:val="8"/>
          <w:rFonts w:hint="default" w:ascii="Times New Roman" w:hAnsi="Times New Roman" w:eastAsia="仿宋_GB2312" w:cs="Times New Roman"/>
          <w:b/>
          <w:bCs/>
          <w:i w:val="0"/>
          <w:caps w:val="0"/>
          <w:spacing w:val="0"/>
          <w:w w:val="100"/>
          <w:sz w:val="32"/>
          <w:szCs w:val="32"/>
          <w:lang w:val="en-US" w:eastAsia="zh-CN"/>
        </w:rPr>
        <w: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坚持将政府信息公开工作与其他工作纳入</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全区</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年度重点工作，</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优化</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考核考评机制，将考核考评结果作为部门及相关人员工作实绩的重要依据，确保严格依法依规公开。</w:t>
      </w:r>
    </w:p>
    <w:p w14:paraId="756C364E">
      <w:pPr>
        <w:keepNext w:val="0"/>
        <w:keepLines w:val="0"/>
        <w:pageBreakBefore w:val="0"/>
        <w:widowControl w:val="0"/>
        <w:numPr>
          <w:ilvl w:val="0"/>
          <w:numId w:val="0"/>
        </w:numPr>
        <w:kinsoku/>
        <w:wordWrap/>
        <w:overflowPunct/>
        <w:topLinePunct w:val="0"/>
        <w:autoSpaceDE/>
        <w:autoSpaceDN/>
        <w:bidi w:val="0"/>
        <w:adjustRightInd/>
        <w:snapToGrid/>
        <w:spacing w:line="590" w:lineRule="atLeast"/>
        <w:ind w:firstLine="643" w:firstLineChars="200"/>
        <w:textAlignment w:val="auto"/>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Style w:val="8"/>
          <w:rFonts w:hint="eastAsia" w:ascii="Times New Roman" w:hAnsi="Times New Roman" w:eastAsia="楷体_GB2312" w:cs="Times New Roman"/>
          <w:b/>
          <w:bCs/>
          <w:i w:val="0"/>
          <w:caps w:val="0"/>
          <w:spacing w:val="0"/>
          <w:w w:val="100"/>
          <w:sz w:val="32"/>
          <w:szCs w:val="32"/>
          <w:lang w:val="en-US" w:eastAsia="zh-CN"/>
        </w:rPr>
        <w:t>（二）</w:t>
      </w:r>
      <w:r>
        <w:rPr>
          <w:rStyle w:val="8"/>
          <w:rFonts w:hint="default" w:ascii="Times New Roman" w:hAnsi="Times New Roman" w:eastAsia="楷体_GB2312" w:cs="Times New Roman"/>
          <w:b/>
          <w:bCs/>
          <w:i w:val="0"/>
          <w:caps w:val="0"/>
          <w:spacing w:val="0"/>
          <w:w w:val="100"/>
          <w:sz w:val="32"/>
          <w:szCs w:val="32"/>
          <w:lang w:val="en-US" w:eastAsia="zh-CN"/>
        </w:rPr>
        <w:t>以更加新颖的形式推进政府信息公开。</w:t>
      </w:r>
      <w:r>
        <w:rPr>
          <w:rStyle w:val="8"/>
          <w:rFonts w:hint="default" w:ascii="Times New Roman" w:hAnsi="Times New Roman" w:eastAsia="仿宋_GB2312" w:cs="Times New Roman"/>
          <w:b/>
          <w:bCs/>
          <w:i w:val="0"/>
          <w:caps w:val="0"/>
          <w:spacing w:val="0"/>
          <w:w w:val="100"/>
          <w:sz w:val="32"/>
          <w:szCs w:val="32"/>
          <w:lang w:val="en-US" w:eastAsia="zh-CN"/>
        </w:rPr>
        <w:t>一是</w:t>
      </w:r>
      <w:r>
        <w:rPr>
          <w:rStyle w:val="8"/>
          <w:rFonts w:hint="eastAsia" w:ascii="Times New Roman" w:hAnsi="Times New Roman" w:eastAsia="仿宋_GB2312" w:cs="Times New Roman"/>
          <w:b/>
          <w:bCs/>
          <w:i w:val="0"/>
          <w:caps w:val="0"/>
          <w:spacing w:val="0"/>
          <w:w w:val="100"/>
          <w:sz w:val="32"/>
          <w:szCs w:val="32"/>
          <w:lang w:val="en-US" w:eastAsia="zh-CN"/>
        </w:rPr>
        <w:t>注重信息传播的深度</w:t>
      </w:r>
      <w:r>
        <w:rPr>
          <w:rStyle w:val="8"/>
          <w:rFonts w:hint="default" w:ascii="Times New Roman" w:hAnsi="Times New Roman" w:eastAsia="仿宋_GB2312" w:cs="Times New Roman"/>
          <w:b/>
          <w:bCs/>
          <w:i w:val="0"/>
          <w:caps w:val="0"/>
          <w:spacing w:val="0"/>
          <w:w w:val="100"/>
          <w:sz w:val="32"/>
          <w:szCs w:val="32"/>
          <w:lang w:val="en-US" w:eastAsia="zh-CN"/>
        </w:rPr>
        <w:t>。</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对“洋口港YOCO”微信公众平台持续完善升级，致力打造成为大众认识东方大港的窗口，成为中国递向世界的一张崭新的名片。2024年，共发布各类信息350余篇，累计阅读量达到 30万人次。</w:t>
      </w:r>
      <w:r>
        <w:rPr>
          <w:rStyle w:val="8"/>
          <w:rFonts w:hint="default" w:ascii="Times New Roman" w:hAnsi="Times New Roman" w:eastAsia="仿宋_GB2312" w:cs="Times New Roman"/>
          <w:b/>
          <w:bCs/>
          <w:i w:val="0"/>
          <w:caps w:val="0"/>
          <w:spacing w:val="0"/>
          <w:w w:val="100"/>
          <w:sz w:val="32"/>
          <w:szCs w:val="32"/>
          <w:lang w:val="en-US" w:eastAsia="zh-CN"/>
        </w:rPr>
        <w:t>二是</w:t>
      </w:r>
      <w:r>
        <w:rPr>
          <w:rStyle w:val="8"/>
          <w:rFonts w:hint="eastAsia" w:ascii="Times New Roman" w:hAnsi="Times New Roman" w:eastAsia="仿宋_GB2312" w:cs="Times New Roman"/>
          <w:b/>
          <w:bCs/>
          <w:i w:val="0"/>
          <w:caps w:val="0"/>
          <w:spacing w:val="0"/>
          <w:w w:val="100"/>
          <w:sz w:val="32"/>
          <w:szCs w:val="32"/>
          <w:lang w:val="en-US" w:eastAsia="zh-CN"/>
        </w:rPr>
        <w:t>拓展</w:t>
      </w:r>
      <w:r>
        <w:rPr>
          <w:rStyle w:val="8"/>
          <w:rFonts w:hint="default" w:ascii="Times New Roman" w:hAnsi="Times New Roman" w:eastAsia="仿宋_GB2312" w:cs="Times New Roman"/>
          <w:b/>
          <w:bCs/>
          <w:i w:val="0"/>
          <w:caps w:val="0"/>
          <w:spacing w:val="0"/>
          <w:w w:val="100"/>
          <w:sz w:val="32"/>
          <w:szCs w:val="32"/>
          <w:lang w:val="en-US" w:eastAsia="zh-CN"/>
        </w:rPr>
        <w:t>信息传播</w:t>
      </w:r>
      <w:r>
        <w:rPr>
          <w:rStyle w:val="8"/>
          <w:rFonts w:hint="eastAsia" w:ascii="Times New Roman" w:hAnsi="Times New Roman" w:eastAsia="仿宋_GB2312" w:cs="Times New Roman"/>
          <w:b/>
          <w:bCs/>
          <w:i w:val="0"/>
          <w:caps w:val="0"/>
          <w:spacing w:val="0"/>
          <w:w w:val="100"/>
          <w:sz w:val="32"/>
          <w:szCs w:val="32"/>
          <w:lang w:val="en-US" w:eastAsia="zh-CN"/>
        </w:rPr>
        <w:t>的广度</w:t>
      </w:r>
      <w:r>
        <w:rPr>
          <w:rStyle w:val="8"/>
          <w:rFonts w:hint="default" w:ascii="Times New Roman" w:hAnsi="Times New Roman" w:eastAsia="仿宋_GB2312" w:cs="Times New Roman"/>
          <w:b/>
          <w:bCs/>
          <w:i w:val="0"/>
          <w:caps w:val="0"/>
          <w:spacing w:val="0"/>
          <w:w w:val="100"/>
          <w:sz w:val="32"/>
          <w:szCs w:val="32"/>
          <w:lang w:val="en-US" w:eastAsia="zh-CN"/>
        </w:rPr>
        <w: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。除政府网站、微信公众号外，顺应时代潮流，充分利用学习强国、江海先锋、如东新媒体（直播如东）、如东发布等APP，深化融合传统媒体与新媒体传播优势，加大信息公开力度。</w:t>
      </w:r>
      <w:r>
        <w:rPr>
          <w:rStyle w:val="8"/>
          <w:rFonts w:hint="default" w:ascii="Times New Roman" w:hAnsi="Times New Roman" w:eastAsia="仿宋_GB2312" w:cs="Times New Roman"/>
          <w:b/>
          <w:bCs/>
          <w:i w:val="0"/>
          <w:caps w:val="0"/>
          <w:spacing w:val="0"/>
          <w:w w:val="100"/>
          <w:sz w:val="32"/>
          <w:szCs w:val="32"/>
          <w:lang w:val="en-US" w:eastAsia="zh-CN"/>
        </w:rPr>
        <w:t>三是</w:t>
      </w:r>
      <w:r>
        <w:rPr>
          <w:rStyle w:val="8"/>
          <w:rFonts w:hint="eastAsia" w:ascii="Times New Roman" w:hAnsi="Times New Roman" w:eastAsia="仿宋_GB2312" w:cs="Times New Roman"/>
          <w:b/>
          <w:bCs/>
          <w:i w:val="0"/>
          <w:caps w:val="0"/>
          <w:spacing w:val="0"/>
          <w:w w:val="100"/>
          <w:sz w:val="32"/>
          <w:szCs w:val="32"/>
          <w:lang w:val="en-US" w:eastAsia="zh-CN"/>
        </w:rPr>
        <w:t>培育信息传播的温度。</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以中国如东信息公开网站为主体，坚持分级分类公开相关信息，进一步增强信息发布以及群体需求的针对性和实效性，同时坚持高质量与高效率并存，确保及时无误发布。202</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4</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年，</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全</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区主动公开信息</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118</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条。</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其中企业各类项目、环评等公示111条，占全部信息的94%，较好地满足了社会大众对重点方面的关注需求。</w:t>
      </w:r>
    </w:p>
    <w:p w14:paraId="28D2414E">
      <w:pPr>
        <w:keepNext w:val="0"/>
        <w:keepLines w:val="0"/>
        <w:pageBreakBefore w:val="0"/>
        <w:widowControl w:val="0"/>
        <w:numPr>
          <w:ilvl w:val="0"/>
          <w:numId w:val="0"/>
        </w:numPr>
        <w:kinsoku/>
        <w:wordWrap/>
        <w:overflowPunct/>
        <w:topLinePunct w:val="0"/>
        <w:autoSpaceDE/>
        <w:autoSpaceDN/>
        <w:bidi w:val="0"/>
        <w:adjustRightInd/>
        <w:snapToGrid/>
        <w:spacing w:line="590" w:lineRule="atLeast"/>
        <w:ind w:firstLine="643" w:firstLineChars="200"/>
        <w:textAlignment w:val="auto"/>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Style w:val="8"/>
          <w:rFonts w:hint="eastAsia" w:ascii="Times New Roman" w:hAnsi="Times New Roman" w:eastAsia="楷体_GB2312" w:cs="Times New Roman"/>
          <w:b/>
          <w:bCs/>
          <w:i w:val="0"/>
          <w:caps w:val="0"/>
          <w:spacing w:val="0"/>
          <w:w w:val="100"/>
          <w:sz w:val="32"/>
          <w:szCs w:val="32"/>
          <w:lang w:val="en-US" w:eastAsia="zh-CN"/>
        </w:rPr>
        <w:t>（三）</w:t>
      </w:r>
      <w:r>
        <w:rPr>
          <w:rStyle w:val="8"/>
          <w:rFonts w:hint="default" w:ascii="Times New Roman" w:hAnsi="Times New Roman" w:eastAsia="楷体_GB2312" w:cs="Times New Roman"/>
          <w:b/>
          <w:bCs/>
          <w:i w:val="0"/>
          <w:caps w:val="0"/>
          <w:spacing w:val="0"/>
          <w:w w:val="100"/>
          <w:sz w:val="32"/>
          <w:szCs w:val="32"/>
          <w:lang w:val="en-US" w:eastAsia="zh-CN"/>
        </w:rPr>
        <w:t>以更加丰富的内容推进政府信息公开。</w:t>
      </w:r>
      <w:r>
        <w:rPr>
          <w:rStyle w:val="8"/>
          <w:rFonts w:hint="eastAsia" w:ascii="Times New Roman" w:hAnsi="Times New Roman" w:eastAsia="仿宋_GB2312" w:cs="Times New Roman"/>
          <w:b/>
          <w:bCs/>
          <w:i w:val="0"/>
          <w:caps w:val="0"/>
          <w:spacing w:val="0"/>
          <w:w w:val="100"/>
          <w:sz w:val="32"/>
          <w:szCs w:val="32"/>
          <w:lang w:val="en-US" w:eastAsia="zh-CN"/>
        </w:rPr>
        <w:t>一方面强化主业主责，</w:t>
      </w:r>
      <w:r>
        <w:rPr>
          <w:rStyle w:val="8"/>
          <w:rFonts w:hint="default" w:ascii="Times New Roman" w:hAnsi="Times New Roman" w:eastAsia="仿宋_GB2312" w:cs="Times New Roman"/>
          <w:b/>
          <w:bCs/>
          <w:i w:val="0"/>
          <w:caps w:val="0"/>
          <w:spacing w:val="0"/>
          <w:w w:val="100"/>
          <w:sz w:val="32"/>
          <w:szCs w:val="32"/>
          <w:lang w:val="en-US" w:eastAsia="zh-CN"/>
        </w:rPr>
        <w:t>突出公共交易资源信息公开。</w:t>
      </w:r>
      <w:r>
        <w:rPr>
          <w:rStyle w:val="8"/>
          <w:rFonts w:hint="eastAsia" w:ascii="Times New Roman" w:hAnsi="Times New Roman" w:eastAsia="仿宋_GB2312" w:cs="Times New Roman"/>
          <w:b/>
          <w:bCs/>
          <w:i w:val="0"/>
          <w:caps w:val="0"/>
          <w:color w:val="000000" w:themeColor="text1"/>
          <w:spacing w:val="0"/>
          <w:w w:val="100"/>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进一步完善全区公共资源交易平台体系，全年完成公共资源交易项目（含区、区属集团公司、长沙镇、村）333个（宗），预算价约45908.2231万元，中标价约30899.5256万元，下浮率约30%，节约财政资金15008.6975万元</w:t>
      </w:r>
      <w:r>
        <w:rPr>
          <w:rFonts w:hint="default" w:ascii="Times New Roman" w:hAnsi="Times New Roman" w:eastAsia="仿宋_GB2312" w:cs="Times New Roman"/>
          <w:color w:val="0000FF"/>
          <w:kern w:val="0"/>
          <w:sz w:val="32"/>
          <w:szCs w:val="32"/>
          <w:lang w:val="en-US" w:eastAsia="zh-CN" w:bidi="ar-SA"/>
        </w:rPr>
        <w:t>。</w:t>
      </w:r>
      <w:r>
        <w:rPr>
          <w:rStyle w:val="8"/>
          <w:rFonts w:hint="eastAsia" w:ascii="Times New Roman" w:hAnsi="Times New Roman" w:eastAsia="仿宋_GB2312" w:cs="Times New Roman"/>
          <w:b/>
          <w:bCs/>
          <w:i w:val="0"/>
          <w:caps w:val="0"/>
          <w:spacing w:val="0"/>
          <w:w w:val="100"/>
          <w:sz w:val="32"/>
          <w:szCs w:val="32"/>
          <w:lang w:val="en-US" w:eastAsia="zh-CN"/>
        </w:rPr>
        <w:t>另一方面强化责任担当，</w:t>
      </w:r>
      <w:r>
        <w:rPr>
          <w:rStyle w:val="8"/>
          <w:rFonts w:hint="default" w:ascii="Times New Roman" w:hAnsi="Times New Roman" w:eastAsia="仿宋_GB2312" w:cs="Times New Roman"/>
          <w:b/>
          <w:bCs/>
          <w:i w:val="0"/>
          <w:caps w:val="0"/>
          <w:spacing w:val="0"/>
          <w:w w:val="100"/>
          <w:sz w:val="32"/>
          <w:szCs w:val="32"/>
          <w:lang w:val="en-US" w:eastAsia="zh-CN"/>
        </w:rPr>
        <w:t>突出“政府落实”</w:t>
      </w:r>
      <w:r>
        <w:rPr>
          <w:rStyle w:val="8"/>
          <w:rFonts w:hint="eastAsia" w:ascii="Times New Roman" w:hAnsi="Times New Roman" w:eastAsia="仿宋_GB2312" w:cs="Times New Roman"/>
          <w:b/>
          <w:bCs/>
          <w:i w:val="0"/>
          <w:caps w:val="0"/>
          <w:spacing w:val="0"/>
          <w:w w:val="100"/>
          <w:sz w:val="32"/>
          <w:szCs w:val="32"/>
          <w:lang w:val="en-US" w:eastAsia="zh-CN"/>
        </w:rPr>
        <w:t xml:space="preserve"> </w:t>
      </w:r>
      <w:r>
        <w:rPr>
          <w:rStyle w:val="8"/>
          <w:rFonts w:hint="default" w:ascii="Times New Roman" w:hAnsi="Times New Roman" w:eastAsia="仿宋_GB2312" w:cs="Times New Roman"/>
          <w:b/>
          <w:bCs/>
          <w:i w:val="0"/>
          <w:caps w:val="0"/>
          <w:spacing w:val="0"/>
          <w:w w:val="100"/>
          <w:sz w:val="32"/>
          <w:szCs w:val="32"/>
          <w:lang w:val="en-US" w:eastAsia="zh-CN"/>
        </w:rPr>
        <w:t>“民生服务”等信息公开。</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凡涉及老百姓实际关心且可以公开的问题均作为关注重点，全部如实主动公开。利用12345平台、市（县）长信箱、办公室办公电话，多形式、多渠道、全方位受理倾听群众诉求与建议。全年</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共办理</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政协提案</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3</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件</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处理市（县）长信箱信件</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6</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件</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处理县12345政府服务热线</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联动指挥平台交办件1002件，</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处理率</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均</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达到100%。</w:t>
      </w:r>
    </w:p>
    <w:p w14:paraId="299017F3">
      <w:pPr>
        <w:ind w:firstLine="640" w:firstLineChars="200"/>
        <w:rPr>
          <w:rFonts w:hint="eastAsia" w:ascii="方正黑体_GBK" w:eastAsia="方正黑体_GBK" w:cs="方正黑体_GBK"/>
          <w:sz w:val="32"/>
          <w:szCs w:val="32"/>
        </w:rPr>
      </w:pPr>
    </w:p>
    <w:p w14:paraId="4BAD4CDB">
      <w:pPr>
        <w:pStyle w:val="2"/>
        <w:rPr>
          <w:rFonts w:hint="eastAsia" w:ascii="方正黑体_GBK" w:eastAsia="方正黑体_GBK" w:cs="方正黑体_GBK"/>
          <w:sz w:val="32"/>
          <w:szCs w:val="32"/>
        </w:rPr>
      </w:pPr>
    </w:p>
    <w:p w14:paraId="2CC10937">
      <w:pPr>
        <w:rPr>
          <w:rFonts w:hint="eastAsia" w:ascii="方正黑体_GBK" w:eastAsia="方正黑体_GBK" w:cs="方正黑体_GBK"/>
          <w:sz w:val="32"/>
          <w:szCs w:val="32"/>
        </w:rPr>
      </w:pPr>
    </w:p>
    <w:p w14:paraId="7AF31FD0">
      <w:pPr>
        <w:pStyle w:val="2"/>
        <w:rPr>
          <w:rFonts w:hint="eastAsia" w:ascii="方正黑体_GBK" w:eastAsia="方正黑体_GBK" w:cs="方正黑体_GBK"/>
          <w:sz w:val="32"/>
          <w:szCs w:val="32"/>
        </w:rPr>
      </w:pPr>
    </w:p>
    <w:p w14:paraId="23D1FCFF">
      <w:pPr>
        <w:rPr>
          <w:rFonts w:hint="eastAsia" w:ascii="方正黑体_GBK" w:eastAsia="方正黑体_GBK" w:cs="方正黑体_GBK"/>
          <w:sz w:val="32"/>
          <w:szCs w:val="32"/>
        </w:rPr>
      </w:pPr>
    </w:p>
    <w:p w14:paraId="169F7430">
      <w:pPr>
        <w:pStyle w:val="2"/>
        <w:ind w:left="0" w:leftChars="0" w:firstLine="0" w:firstLineChars="0"/>
        <w:rPr>
          <w:rFonts w:hint="eastAsia"/>
        </w:rPr>
      </w:pPr>
    </w:p>
    <w:p w14:paraId="7E15E60D">
      <w:pPr>
        <w:ind w:firstLine="640" w:firstLineChars="200"/>
        <w:rPr>
          <w:rFonts w:ascii="方正黑体_GBK" w:eastAsia="方正黑体_GBK" w:cs="方正黑体_GBK"/>
          <w:sz w:val="32"/>
          <w:szCs w:val="32"/>
        </w:rPr>
      </w:pPr>
      <w:r>
        <w:rPr>
          <w:rFonts w:hint="eastAsia" w:ascii="方正黑体_GBK" w:eastAsia="方正黑体_GBK" w:cs="方正黑体_GBK"/>
          <w:sz w:val="32"/>
          <w:szCs w:val="32"/>
        </w:rPr>
        <w:t>二、主动公开政府信息情况</w:t>
      </w:r>
    </w:p>
    <w:tbl>
      <w:tblPr>
        <w:tblStyle w:val="6"/>
        <w:tblW w:w="8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113"/>
        <w:gridCol w:w="1875"/>
        <w:gridCol w:w="1477"/>
        <w:gridCol w:w="1675"/>
      </w:tblGrid>
      <w:tr w14:paraId="7B1DC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noWrap/>
            <w:tcMar>
              <w:left w:w="108" w:type="dxa"/>
              <w:right w:w="108" w:type="dxa"/>
            </w:tcMar>
            <w:vAlign w:val="center"/>
          </w:tcPr>
          <w:p w14:paraId="0376D235">
            <w:pPr>
              <w:widowControl/>
              <w:jc w:val="center"/>
              <w:rPr>
                <w:rFonts w:ascii="宋体" w:eastAsia="宋体" w:cs="宋体"/>
                <w:kern w:val="0"/>
                <w:sz w:val="24"/>
                <w:szCs w:val="24"/>
              </w:rPr>
            </w:pPr>
            <w:r>
              <w:rPr>
                <w:rFonts w:hint="eastAsia" w:ascii="宋体" w:eastAsia="宋体" w:cs="宋体"/>
                <w:color w:val="000000"/>
                <w:kern w:val="0"/>
                <w:sz w:val="20"/>
                <w:szCs w:val="20"/>
              </w:rPr>
              <w:t>第二十条第（一）项</w:t>
            </w:r>
          </w:p>
        </w:tc>
      </w:tr>
      <w:tr w14:paraId="4D6A9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09A94968">
            <w:pPr>
              <w:widowControl/>
              <w:jc w:val="center"/>
              <w:rPr>
                <w:rFonts w:ascii="宋体" w:eastAsia="宋体" w:cs="宋体"/>
                <w:kern w:val="0"/>
                <w:sz w:val="24"/>
                <w:szCs w:val="24"/>
              </w:rPr>
            </w:pPr>
            <w:r>
              <w:rPr>
                <w:rFonts w:hint="eastAsia" w:ascii="宋体" w:eastAsia="宋体" w:cs="宋体"/>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noWrap/>
            <w:tcMar>
              <w:left w:w="108" w:type="dxa"/>
              <w:right w:w="108" w:type="dxa"/>
            </w:tcMar>
            <w:vAlign w:val="center"/>
          </w:tcPr>
          <w:p w14:paraId="40907E46">
            <w:pPr>
              <w:widowControl/>
              <w:jc w:val="center"/>
              <w:rPr>
                <w:rFonts w:hint="eastAsia" w:ascii="宋体" w:eastAsia="宋体" w:cs="宋体"/>
                <w:kern w:val="0"/>
                <w:sz w:val="24"/>
                <w:szCs w:val="24"/>
                <w:lang w:eastAsia="zh-CN"/>
              </w:rPr>
            </w:pPr>
            <w:r>
              <w:rPr>
                <w:rFonts w:hint="eastAsia" w:ascii="宋体" w:eastAsia="宋体" w:cs="宋体"/>
                <w:color w:val="000000"/>
                <w:kern w:val="0"/>
                <w:sz w:val="20"/>
                <w:szCs w:val="20"/>
              </w:rPr>
              <w:t>本年</w:t>
            </w:r>
            <w:r>
              <w:rPr>
                <w:rFonts w:hint="eastAsia" w:ascii="宋体" w:cs="宋体"/>
                <w:color w:val="000000"/>
                <w:kern w:val="0"/>
                <w:sz w:val="20"/>
                <w:szCs w:val="20"/>
                <w:lang w:eastAsia="zh-CN"/>
              </w:rPr>
              <w:t>制发件数</w:t>
            </w:r>
          </w:p>
        </w:tc>
        <w:tc>
          <w:tcPr>
            <w:tcW w:w="1477" w:type="dxa"/>
            <w:tcBorders>
              <w:top w:val="single" w:color="auto" w:sz="8" w:space="0"/>
              <w:left w:val="nil"/>
              <w:bottom w:val="single" w:color="auto" w:sz="8" w:space="0"/>
              <w:right w:val="single" w:color="auto" w:sz="8" w:space="0"/>
            </w:tcBorders>
            <w:tcMar>
              <w:left w:w="108" w:type="dxa"/>
              <w:right w:w="108" w:type="dxa"/>
            </w:tcMar>
            <w:vAlign w:val="center"/>
          </w:tcPr>
          <w:p w14:paraId="43D99B54">
            <w:pPr>
              <w:widowControl/>
              <w:jc w:val="center"/>
              <w:rPr>
                <w:rFonts w:hint="eastAsia" w:ascii="宋体" w:eastAsia="宋体" w:cs="宋体"/>
                <w:kern w:val="0"/>
                <w:sz w:val="24"/>
                <w:szCs w:val="24"/>
                <w:lang w:eastAsia="zh-CN"/>
              </w:rPr>
            </w:pPr>
            <w:r>
              <w:rPr>
                <w:rFonts w:hint="eastAsia" w:ascii="宋体" w:eastAsia="宋体" w:cs="宋体"/>
                <w:color w:val="000000"/>
                <w:kern w:val="0"/>
                <w:sz w:val="20"/>
                <w:szCs w:val="20"/>
              </w:rPr>
              <w:t>本年</w:t>
            </w:r>
            <w:r>
              <w:rPr>
                <w:rFonts w:hint="eastAsia" w:ascii="宋体" w:cs="宋体"/>
                <w:color w:val="000000"/>
                <w:kern w:val="0"/>
                <w:sz w:val="20"/>
                <w:szCs w:val="20"/>
                <w:lang w:eastAsia="zh-CN"/>
              </w:rPr>
              <w:t>废止件数</w:t>
            </w:r>
          </w:p>
        </w:tc>
        <w:tc>
          <w:tcPr>
            <w:tcW w:w="1675" w:type="dxa"/>
            <w:tcBorders>
              <w:top w:val="nil"/>
              <w:left w:val="nil"/>
              <w:bottom w:val="single" w:color="auto" w:sz="8" w:space="0"/>
              <w:right w:val="single" w:color="auto" w:sz="8" w:space="0"/>
            </w:tcBorders>
            <w:noWrap/>
            <w:tcMar>
              <w:left w:w="108" w:type="dxa"/>
              <w:right w:w="108" w:type="dxa"/>
            </w:tcMar>
            <w:vAlign w:val="center"/>
          </w:tcPr>
          <w:p w14:paraId="3100903E">
            <w:pPr>
              <w:widowControl/>
              <w:jc w:val="center"/>
              <w:rPr>
                <w:rFonts w:hint="eastAsia" w:ascii="宋体" w:eastAsia="宋体" w:cs="宋体"/>
                <w:kern w:val="0"/>
                <w:sz w:val="24"/>
                <w:szCs w:val="24"/>
                <w:lang w:eastAsia="zh-CN"/>
              </w:rPr>
            </w:pPr>
            <w:r>
              <w:rPr>
                <w:rFonts w:hint="eastAsia" w:ascii="宋体" w:cs="宋体"/>
                <w:color w:val="000000"/>
                <w:kern w:val="0"/>
                <w:sz w:val="20"/>
                <w:szCs w:val="20"/>
                <w:lang w:eastAsia="zh-CN"/>
              </w:rPr>
              <w:t>现行有效件数</w:t>
            </w:r>
          </w:p>
        </w:tc>
      </w:tr>
      <w:tr w14:paraId="314C1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31B9516B">
            <w:pPr>
              <w:widowControl/>
              <w:jc w:val="left"/>
              <w:rPr>
                <w:rFonts w:ascii="宋体" w:eastAsia="宋体" w:cs="宋体"/>
                <w:kern w:val="0"/>
                <w:sz w:val="24"/>
                <w:szCs w:val="24"/>
              </w:rPr>
            </w:pPr>
            <w:r>
              <w:rPr>
                <w:rFonts w:hint="eastAsia" w:ascii="宋体" w:eastAsia="宋体" w:cs="宋体"/>
                <w:color w:val="000000"/>
                <w:kern w:val="0"/>
                <w:sz w:val="20"/>
                <w:szCs w:val="20"/>
              </w:rPr>
              <w:t>规章</w:t>
            </w:r>
          </w:p>
        </w:tc>
        <w:tc>
          <w:tcPr>
            <w:tcW w:w="1875" w:type="dxa"/>
            <w:tcBorders>
              <w:top w:val="nil"/>
              <w:left w:val="nil"/>
              <w:bottom w:val="single" w:color="auto" w:sz="8" w:space="0"/>
              <w:right w:val="single" w:color="auto" w:sz="8" w:space="0"/>
            </w:tcBorders>
            <w:noWrap/>
            <w:tcMar>
              <w:left w:w="108" w:type="dxa"/>
              <w:right w:w="108" w:type="dxa"/>
            </w:tcMar>
            <w:vAlign w:val="center"/>
          </w:tcPr>
          <w:p w14:paraId="2546FE4A">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 xml:space="preserve"> </w:t>
            </w:r>
          </w:p>
        </w:tc>
        <w:tc>
          <w:tcPr>
            <w:tcW w:w="1477" w:type="dxa"/>
            <w:tcBorders>
              <w:top w:val="nil"/>
              <w:left w:val="nil"/>
              <w:bottom w:val="single" w:color="auto" w:sz="8" w:space="0"/>
              <w:right w:val="single" w:color="auto" w:sz="8" w:space="0"/>
            </w:tcBorders>
            <w:tcMar>
              <w:left w:w="108" w:type="dxa"/>
              <w:right w:w="108" w:type="dxa"/>
            </w:tcMar>
            <w:vAlign w:val="center"/>
          </w:tcPr>
          <w:p w14:paraId="5C02C36D">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 xml:space="preserve"> </w:t>
            </w:r>
          </w:p>
        </w:tc>
        <w:tc>
          <w:tcPr>
            <w:tcW w:w="1675" w:type="dxa"/>
            <w:tcBorders>
              <w:top w:val="nil"/>
              <w:left w:val="nil"/>
              <w:bottom w:val="single" w:color="auto" w:sz="8" w:space="0"/>
              <w:right w:val="single" w:color="auto" w:sz="8" w:space="0"/>
            </w:tcBorders>
            <w:noWrap/>
            <w:tcMar>
              <w:left w:w="108" w:type="dxa"/>
              <w:right w:w="108" w:type="dxa"/>
            </w:tcMar>
            <w:vAlign w:val="center"/>
          </w:tcPr>
          <w:p w14:paraId="4299F82B">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 xml:space="preserve"> </w:t>
            </w:r>
          </w:p>
        </w:tc>
      </w:tr>
      <w:tr w14:paraId="4D20D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5F2AB18A">
            <w:pPr>
              <w:widowControl/>
              <w:jc w:val="left"/>
              <w:rPr>
                <w:rFonts w:ascii="宋体" w:eastAsia="宋体" w:cs="宋体"/>
                <w:kern w:val="0"/>
                <w:sz w:val="24"/>
                <w:szCs w:val="24"/>
              </w:rPr>
            </w:pPr>
            <w:r>
              <w:rPr>
                <w:rFonts w:hint="eastAsia" w:ascii="宋体" w:cs="宋体"/>
                <w:color w:val="000000"/>
                <w:kern w:val="0"/>
                <w:sz w:val="20"/>
                <w:szCs w:val="20"/>
                <w:lang w:eastAsia="zh-CN"/>
              </w:rPr>
              <w:t>行政</w:t>
            </w:r>
            <w:r>
              <w:rPr>
                <w:rFonts w:hint="eastAsia" w:ascii="宋体" w:eastAsia="宋体" w:cs="宋体"/>
                <w:color w:val="000000"/>
                <w:kern w:val="0"/>
                <w:sz w:val="20"/>
                <w:szCs w:val="20"/>
              </w:rPr>
              <w:t>规范性文件</w:t>
            </w:r>
          </w:p>
        </w:tc>
        <w:tc>
          <w:tcPr>
            <w:tcW w:w="1875" w:type="dxa"/>
            <w:tcBorders>
              <w:top w:val="nil"/>
              <w:left w:val="nil"/>
              <w:bottom w:val="single" w:color="auto" w:sz="8" w:space="0"/>
              <w:right w:val="single" w:color="auto" w:sz="8" w:space="0"/>
            </w:tcBorders>
            <w:noWrap/>
            <w:tcMar>
              <w:left w:w="108" w:type="dxa"/>
              <w:right w:w="108" w:type="dxa"/>
            </w:tcMar>
            <w:vAlign w:val="center"/>
          </w:tcPr>
          <w:p w14:paraId="0D9708BB">
            <w:pPr>
              <w:widowControl/>
              <w:jc w:val="center"/>
              <w:rPr>
                <w:rFonts w:hint="default" w:ascii="Times New Roman" w:hAnsi="Times New Roman" w:eastAsia="宋体" w:cs="Times New Roman"/>
                <w:color w:val="FF0000"/>
                <w:kern w:val="0"/>
                <w:sz w:val="24"/>
                <w:szCs w:val="24"/>
                <w:lang w:val="en-US" w:eastAsia="zh-CN"/>
              </w:rPr>
            </w:pPr>
            <w:r>
              <w:rPr>
                <w:rFonts w:hint="eastAsia" w:ascii="Times New Roman" w:hAnsi="Times New Roman" w:cs="Times New Roman"/>
                <w:color w:val="FF0000"/>
                <w:kern w:val="0"/>
                <w:sz w:val="24"/>
                <w:szCs w:val="24"/>
                <w:lang w:val="en-US" w:eastAsia="zh-CN"/>
              </w:rPr>
              <w:t xml:space="preserve"> </w:t>
            </w:r>
          </w:p>
        </w:tc>
        <w:tc>
          <w:tcPr>
            <w:tcW w:w="1477" w:type="dxa"/>
            <w:tcBorders>
              <w:top w:val="nil"/>
              <w:left w:val="nil"/>
              <w:bottom w:val="single" w:color="auto" w:sz="8" w:space="0"/>
              <w:right w:val="single" w:color="auto" w:sz="8" w:space="0"/>
            </w:tcBorders>
            <w:tcMar>
              <w:left w:w="108" w:type="dxa"/>
              <w:right w:w="108" w:type="dxa"/>
            </w:tcMar>
            <w:vAlign w:val="center"/>
          </w:tcPr>
          <w:p w14:paraId="0DB58442">
            <w:pPr>
              <w:widowControl/>
              <w:jc w:val="center"/>
              <w:rPr>
                <w:rFonts w:hint="default" w:ascii="Times New Roman" w:hAnsi="Times New Roman" w:eastAsia="宋体" w:cs="Times New Roman"/>
                <w:color w:val="FF0000"/>
                <w:kern w:val="0"/>
                <w:sz w:val="24"/>
                <w:szCs w:val="24"/>
                <w:lang w:val="en-US" w:eastAsia="zh-CN"/>
              </w:rPr>
            </w:pPr>
            <w:r>
              <w:rPr>
                <w:rFonts w:hint="eastAsia" w:ascii="Times New Roman" w:hAnsi="Times New Roman" w:cs="Times New Roman"/>
                <w:color w:val="FF0000"/>
                <w:kern w:val="0"/>
                <w:sz w:val="24"/>
                <w:szCs w:val="24"/>
                <w:lang w:val="en-US" w:eastAsia="zh-CN"/>
              </w:rPr>
              <w:t xml:space="preserve"> </w:t>
            </w:r>
          </w:p>
        </w:tc>
        <w:tc>
          <w:tcPr>
            <w:tcW w:w="1675" w:type="dxa"/>
            <w:tcBorders>
              <w:top w:val="nil"/>
              <w:left w:val="nil"/>
              <w:bottom w:val="single" w:color="auto" w:sz="8" w:space="0"/>
              <w:right w:val="single" w:color="auto" w:sz="8" w:space="0"/>
            </w:tcBorders>
            <w:noWrap/>
            <w:tcMar>
              <w:left w:w="108" w:type="dxa"/>
              <w:right w:w="108" w:type="dxa"/>
            </w:tcMar>
            <w:vAlign w:val="center"/>
          </w:tcPr>
          <w:p w14:paraId="39863AB4">
            <w:pPr>
              <w:widowControl/>
              <w:jc w:val="center"/>
              <w:rPr>
                <w:rFonts w:hint="default" w:ascii="Times New Roman" w:hAnsi="Times New Roman" w:eastAsia="宋体" w:cs="Times New Roman"/>
                <w:color w:val="FF0000"/>
                <w:kern w:val="0"/>
                <w:sz w:val="24"/>
                <w:szCs w:val="24"/>
                <w:lang w:val="en-US" w:eastAsia="zh-CN"/>
              </w:rPr>
            </w:pPr>
            <w:r>
              <w:rPr>
                <w:rFonts w:hint="eastAsia" w:ascii="Times New Roman" w:hAnsi="Times New Roman" w:cs="Times New Roman"/>
                <w:color w:val="FF0000"/>
                <w:kern w:val="0"/>
                <w:sz w:val="24"/>
                <w:szCs w:val="24"/>
                <w:lang w:val="en-US" w:eastAsia="zh-CN"/>
              </w:rPr>
              <w:t xml:space="preserve"> </w:t>
            </w:r>
          </w:p>
        </w:tc>
      </w:tr>
      <w:tr w14:paraId="18012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1A20A706">
            <w:pPr>
              <w:widowControl/>
              <w:jc w:val="center"/>
              <w:rPr>
                <w:rFonts w:ascii="宋体" w:eastAsia="宋体" w:cs="宋体"/>
                <w:kern w:val="0"/>
                <w:sz w:val="24"/>
                <w:szCs w:val="24"/>
              </w:rPr>
            </w:pPr>
            <w:r>
              <w:rPr>
                <w:rFonts w:hint="eastAsia" w:ascii="宋体" w:eastAsia="宋体" w:cs="宋体"/>
                <w:color w:val="000000"/>
                <w:kern w:val="0"/>
                <w:sz w:val="20"/>
                <w:szCs w:val="20"/>
              </w:rPr>
              <w:t>第二十条第（五）项</w:t>
            </w:r>
          </w:p>
        </w:tc>
      </w:tr>
      <w:tr w14:paraId="1EC1F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25CE9805">
            <w:pPr>
              <w:widowControl/>
              <w:jc w:val="center"/>
              <w:rPr>
                <w:rFonts w:ascii="宋体" w:eastAsia="宋体" w:cs="宋体"/>
                <w:kern w:val="0"/>
                <w:sz w:val="24"/>
                <w:szCs w:val="24"/>
              </w:rPr>
            </w:pPr>
            <w:r>
              <w:rPr>
                <w:rFonts w:hint="eastAsia" w:ascii="宋体" w:eastAsia="宋体" w:cs="宋体"/>
                <w:color w:val="000000"/>
                <w:kern w:val="0"/>
                <w:sz w:val="20"/>
                <w:szCs w:val="20"/>
              </w:rPr>
              <w:t>信息内容</w:t>
            </w:r>
          </w:p>
        </w:tc>
        <w:tc>
          <w:tcPr>
            <w:tcW w:w="5027" w:type="dxa"/>
            <w:gridSpan w:val="3"/>
            <w:tcBorders>
              <w:top w:val="single" w:color="auto" w:sz="8" w:space="0"/>
              <w:left w:val="nil"/>
              <w:bottom w:val="single" w:color="auto" w:sz="8" w:space="0"/>
              <w:right w:val="single" w:color="auto" w:sz="8" w:space="0"/>
            </w:tcBorders>
            <w:noWrap/>
            <w:tcMar>
              <w:left w:w="108" w:type="dxa"/>
              <w:right w:w="108" w:type="dxa"/>
            </w:tcMar>
            <w:vAlign w:val="center"/>
          </w:tcPr>
          <w:p w14:paraId="4C71FA84">
            <w:pPr>
              <w:widowControl/>
              <w:jc w:val="center"/>
              <w:rPr>
                <w:rFonts w:ascii="宋体" w:eastAsia="宋体" w:cs="宋体"/>
                <w:kern w:val="0"/>
                <w:sz w:val="24"/>
                <w:szCs w:val="24"/>
              </w:rPr>
            </w:pPr>
            <w:r>
              <w:rPr>
                <w:rFonts w:hint="eastAsia" w:ascii="宋体" w:cs="宋体"/>
                <w:color w:val="000000"/>
                <w:kern w:val="0"/>
                <w:sz w:val="20"/>
                <w:szCs w:val="20"/>
                <w:lang w:eastAsia="zh-CN"/>
              </w:rPr>
              <w:t>本年</w:t>
            </w:r>
            <w:r>
              <w:rPr>
                <w:rFonts w:hint="eastAsia" w:ascii="宋体" w:eastAsia="宋体" w:cs="宋体"/>
                <w:color w:val="000000"/>
                <w:kern w:val="0"/>
                <w:sz w:val="20"/>
                <w:szCs w:val="20"/>
              </w:rPr>
              <w:t>处理决定数量</w:t>
            </w:r>
          </w:p>
        </w:tc>
      </w:tr>
      <w:tr w14:paraId="7DE77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07F331AB">
            <w:pPr>
              <w:widowControl/>
              <w:jc w:val="left"/>
              <w:rPr>
                <w:rFonts w:ascii="宋体" w:eastAsia="宋体" w:cs="宋体"/>
                <w:kern w:val="0"/>
                <w:sz w:val="24"/>
                <w:szCs w:val="24"/>
              </w:rPr>
            </w:pPr>
            <w:r>
              <w:rPr>
                <w:rFonts w:hint="eastAsia" w:ascii="宋体" w:eastAsia="宋体" w:cs="宋体"/>
                <w:color w:val="000000"/>
                <w:kern w:val="0"/>
                <w:sz w:val="20"/>
                <w:szCs w:val="20"/>
              </w:rPr>
              <w:t>行政许可</w:t>
            </w:r>
          </w:p>
        </w:tc>
        <w:tc>
          <w:tcPr>
            <w:tcW w:w="5027" w:type="dxa"/>
            <w:gridSpan w:val="3"/>
            <w:tcBorders>
              <w:top w:val="nil"/>
              <w:left w:val="nil"/>
              <w:bottom w:val="single" w:color="auto" w:sz="8" w:space="0"/>
              <w:right w:val="single" w:color="auto" w:sz="8" w:space="0"/>
            </w:tcBorders>
            <w:noWrap/>
            <w:tcMar>
              <w:left w:w="108" w:type="dxa"/>
              <w:right w:w="108" w:type="dxa"/>
            </w:tcMar>
            <w:vAlign w:val="center"/>
          </w:tcPr>
          <w:p w14:paraId="66590273">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0</w:t>
            </w:r>
          </w:p>
        </w:tc>
      </w:tr>
      <w:tr w14:paraId="2855C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0DE2B6F6">
            <w:pPr>
              <w:widowControl/>
              <w:jc w:val="center"/>
              <w:rPr>
                <w:rFonts w:ascii="宋体" w:eastAsia="宋体" w:cs="宋体"/>
                <w:kern w:val="0"/>
                <w:sz w:val="24"/>
                <w:szCs w:val="24"/>
              </w:rPr>
            </w:pPr>
            <w:r>
              <w:rPr>
                <w:rFonts w:hint="eastAsia" w:ascii="宋体" w:eastAsia="宋体" w:cs="宋体"/>
                <w:color w:val="000000"/>
                <w:kern w:val="0"/>
                <w:sz w:val="20"/>
                <w:szCs w:val="20"/>
              </w:rPr>
              <w:t>第二十条第（六）项</w:t>
            </w:r>
          </w:p>
        </w:tc>
      </w:tr>
      <w:tr w14:paraId="28A4D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14992ADE">
            <w:pPr>
              <w:widowControl/>
              <w:jc w:val="center"/>
              <w:rPr>
                <w:rFonts w:ascii="宋体" w:eastAsia="宋体" w:cs="宋体"/>
                <w:kern w:val="0"/>
                <w:sz w:val="24"/>
                <w:szCs w:val="24"/>
              </w:rPr>
            </w:pPr>
            <w:r>
              <w:rPr>
                <w:rFonts w:hint="eastAsia" w:ascii="宋体" w:eastAsia="宋体" w:cs="宋体"/>
                <w:color w:val="000000"/>
                <w:kern w:val="0"/>
                <w:sz w:val="20"/>
                <w:szCs w:val="20"/>
              </w:rPr>
              <w:t>信息内容</w:t>
            </w:r>
          </w:p>
        </w:tc>
        <w:tc>
          <w:tcPr>
            <w:tcW w:w="5027" w:type="dxa"/>
            <w:gridSpan w:val="3"/>
            <w:tcBorders>
              <w:top w:val="single" w:color="auto" w:sz="8" w:space="0"/>
              <w:left w:val="nil"/>
              <w:bottom w:val="single" w:color="auto" w:sz="8" w:space="0"/>
              <w:right w:val="single" w:color="auto" w:sz="8" w:space="0"/>
            </w:tcBorders>
            <w:noWrap/>
            <w:tcMar>
              <w:left w:w="108" w:type="dxa"/>
              <w:right w:w="108" w:type="dxa"/>
            </w:tcMar>
            <w:vAlign w:val="center"/>
          </w:tcPr>
          <w:p w14:paraId="78EC87EB">
            <w:pPr>
              <w:widowControl/>
              <w:jc w:val="center"/>
              <w:rPr>
                <w:rFonts w:ascii="宋体" w:eastAsia="宋体" w:cs="宋体"/>
                <w:kern w:val="0"/>
                <w:sz w:val="24"/>
                <w:szCs w:val="24"/>
              </w:rPr>
            </w:pPr>
            <w:r>
              <w:rPr>
                <w:rFonts w:hint="eastAsia" w:ascii="宋体" w:eastAsia="宋体" w:cs="宋体"/>
                <w:color w:val="000000"/>
                <w:kern w:val="0"/>
                <w:sz w:val="20"/>
                <w:szCs w:val="20"/>
              </w:rPr>
              <w:t>本年处理决定数量</w:t>
            </w:r>
          </w:p>
        </w:tc>
      </w:tr>
      <w:tr w14:paraId="2D4B2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71863BAE">
            <w:pPr>
              <w:widowControl/>
              <w:jc w:val="left"/>
              <w:rPr>
                <w:rFonts w:ascii="宋体" w:eastAsia="宋体" w:cs="宋体"/>
                <w:kern w:val="0"/>
                <w:sz w:val="24"/>
                <w:szCs w:val="24"/>
              </w:rPr>
            </w:pPr>
            <w:r>
              <w:rPr>
                <w:rFonts w:hint="eastAsia" w:ascii="宋体" w:eastAsia="宋体" w:cs="宋体"/>
                <w:color w:val="000000"/>
                <w:kern w:val="0"/>
                <w:sz w:val="20"/>
                <w:szCs w:val="20"/>
              </w:rPr>
              <w:t>行政处罚</w:t>
            </w:r>
          </w:p>
        </w:tc>
        <w:tc>
          <w:tcPr>
            <w:tcW w:w="5027" w:type="dxa"/>
            <w:gridSpan w:val="3"/>
            <w:tcBorders>
              <w:top w:val="nil"/>
              <w:left w:val="nil"/>
              <w:bottom w:val="single" w:color="auto" w:sz="8" w:space="0"/>
              <w:right w:val="single" w:color="auto" w:sz="8" w:space="0"/>
            </w:tcBorders>
            <w:noWrap/>
            <w:tcMar>
              <w:left w:w="108" w:type="dxa"/>
              <w:right w:w="108" w:type="dxa"/>
            </w:tcMar>
            <w:vAlign w:val="center"/>
          </w:tcPr>
          <w:p w14:paraId="5A7A805F">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1</w:t>
            </w:r>
          </w:p>
        </w:tc>
      </w:tr>
      <w:tr w14:paraId="5F064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6727E489">
            <w:pPr>
              <w:widowControl/>
              <w:jc w:val="left"/>
              <w:rPr>
                <w:rFonts w:ascii="宋体" w:eastAsia="宋体" w:cs="宋体"/>
                <w:kern w:val="0"/>
                <w:sz w:val="24"/>
                <w:szCs w:val="24"/>
              </w:rPr>
            </w:pPr>
            <w:r>
              <w:rPr>
                <w:rFonts w:hint="eastAsia" w:ascii="宋体" w:eastAsia="宋体" w:cs="宋体"/>
                <w:color w:val="000000"/>
                <w:kern w:val="0"/>
                <w:sz w:val="20"/>
                <w:szCs w:val="20"/>
              </w:rPr>
              <w:t>行政强制</w:t>
            </w:r>
          </w:p>
        </w:tc>
        <w:tc>
          <w:tcPr>
            <w:tcW w:w="5027" w:type="dxa"/>
            <w:gridSpan w:val="3"/>
            <w:tcBorders>
              <w:top w:val="nil"/>
              <w:left w:val="nil"/>
              <w:bottom w:val="single" w:color="auto" w:sz="8" w:space="0"/>
              <w:right w:val="single" w:color="auto" w:sz="8" w:space="0"/>
            </w:tcBorders>
            <w:noWrap/>
            <w:tcMar>
              <w:left w:w="108" w:type="dxa"/>
              <w:right w:w="108" w:type="dxa"/>
            </w:tcMar>
            <w:vAlign w:val="center"/>
          </w:tcPr>
          <w:p w14:paraId="56E434A8">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0</w:t>
            </w:r>
          </w:p>
        </w:tc>
      </w:tr>
      <w:tr w14:paraId="16CDE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70316F9B">
            <w:pPr>
              <w:widowControl/>
              <w:jc w:val="center"/>
              <w:rPr>
                <w:rFonts w:ascii="宋体" w:eastAsia="宋体" w:cs="宋体"/>
                <w:kern w:val="0"/>
                <w:sz w:val="24"/>
                <w:szCs w:val="24"/>
              </w:rPr>
            </w:pPr>
            <w:r>
              <w:rPr>
                <w:rFonts w:hint="eastAsia" w:ascii="宋体" w:eastAsia="宋体" w:cs="宋体"/>
                <w:color w:val="000000"/>
                <w:kern w:val="0"/>
                <w:sz w:val="20"/>
                <w:szCs w:val="20"/>
              </w:rPr>
              <w:t>第二十条第（八）项</w:t>
            </w:r>
          </w:p>
        </w:tc>
      </w:tr>
      <w:tr w14:paraId="69243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6EA18841">
            <w:pPr>
              <w:widowControl/>
              <w:jc w:val="center"/>
              <w:rPr>
                <w:rFonts w:ascii="宋体" w:eastAsia="宋体" w:cs="宋体"/>
                <w:kern w:val="0"/>
                <w:sz w:val="24"/>
                <w:szCs w:val="24"/>
              </w:rPr>
            </w:pPr>
            <w:r>
              <w:rPr>
                <w:rFonts w:hint="eastAsia" w:ascii="宋体" w:eastAsia="宋体" w:cs="宋体"/>
                <w:color w:val="000000"/>
                <w:kern w:val="0"/>
                <w:sz w:val="20"/>
                <w:szCs w:val="20"/>
              </w:rPr>
              <w:t>信息内容</w:t>
            </w:r>
          </w:p>
        </w:tc>
        <w:tc>
          <w:tcPr>
            <w:tcW w:w="5027" w:type="dxa"/>
            <w:gridSpan w:val="3"/>
            <w:tcBorders>
              <w:top w:val="nil"/>
              <w:left w:val="nil"/>
              <w:bottom w:val="single" w:color="auto" w:sz="8" w:space="0"/>
              <w:right w:val="single" w:color="000000" w:sz="8" w:space="0"/>
            </w:tcBorders>
            <w:noWrap/>
            <w:tcMar>
              <w:left w:w="108" w:type="dxa"/>
              <w:right w:w="108" w:type="dxa"/>
            </w:tcMar>
            <w:vAlign w:val="center"/>
          </w:tcPr>
          <w:p w14:paraId="2C583DCE">
            <w:pPr>
              <w:widowControl/>
              <w:jc w:val="center"/>
              <w:rPr>
                <w:rFonts w:hint="eastAsia" w:ascii="宋体" w:eastAsia="宋体" w:cs="宋体"/>
                <w:kern w:val="0"/>
                <w:sz w:val="24"/>
                <w:szCs w:val="24"/>
                <w:lang w:eastAsia="zh-CN"/>
              </w:rPr>
            </w:pPr>
            <w:r>
              <w:rPr>
                <w:rFonts w:hint="eastAsia" w:ascii="宋体" w:cs="宋体"/>
                <w:color w:val="000000"/>
                <w:kern w:val="0"/>
                <w:sz w:val="20"/>
                <w:szCs w:val="20"/>
                <w:lang w:eastAsia="zh-CN"/>
              </w:rPr>
              <w:t>本年收费金额（单位：万元）</w:t>
            </w:r>
          </w:p>
        </w:tc>
      </w:tr>
      <w:tr w14:paraId="72BF2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3D7DE54A">
            <w:pPr>
              <w:widowControl/>
              <w:jc w:val="left"/>
              <w:rPr>
                <w:rFonts w:ascii="宋体" w:eastAsia="宋体" w:cs="宋体"/>
                <w:kern w:val="0"/>
                <w:sz w:val="24"/>
                <w:szCs w:val="24"/>
              </w:rPr>
            </w:pPr>
            <w:r>
              <w:rPr>
                <w:rFonts w:hint="eastAsia" w:ascii="宋体" w:eastAsia="宋体" w:cs="宋体"/>
                <w:color w:val="000000"/>
                <w:kern w:val="0"/>
                <w:sz w:val="20"/>
                <w:szCs w:val="20"/>
              </w:rPr>
              <w:t>行政事业性收费</w:t>
            </w:r>
          </w:p>
        </w:tc>
        <w:tc>
          <w:tcPr>
            <w:tcW w:w="5027" w:type="dxa"/>
            <w:gridSpan w:val="3"/>
            <w:tcBorders>
              <w:top w:val="nil"/>
              <w:left w:val="nil"/>
              <w:bottom w:val="single" w:color="auto" w:sz="8" w:space="0"/>
              <w:right w:val="single" w:color="000000" w:sz="8" w:space="0"/>
            </w:tcBorders>
            <w:noWrap/>
            <w:tcMar>
              <w:left w:w="108" w:type="dxa"/>
              <w:right w:w="108" w:type="dxa"/>
            </w:tcMar>
            <w:vAlign w:val="center"/>
          </w:tcPr>
          <w:p w14:paraId="553072CF">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0</w:t>
            </w:r>
          </w:p>
        </w:tc>
      </w:tr>
    </w:tbl>
    <w:p w14:paraId="741D01E4">
      <w:pPr>
        <w:ind w:firstLine="640" w:firstLineChars="200"/>
        <w:rPr>
          <w:rFonts w:hint="eastAsia" w:ascii="黑体" w:eastAsia="黑体"/>
          <w:sz w:val="32"/>
          <w:szCs w:val="32"/>
        </w:rPr>
      </w:pPr>
    </w:p>
    <w:p w14:paraId="07E0D2AC">
      <w:pPr>
        <w:ind w:firstLine="640" w:firstLineChars="200"/>
        <w:rPr>
          <w:rFonts w:hint="eastAsia" w:ascii="黑体" w:eastAsia="黑体"/>
          <w:sz w:val="32"/>
          <w:szCs w:val="32"/>
        </w:rPr>
      </w:pPr>
    </w:p>
    <w:p w14:paraId="497B4A79">
      <w:pPr>
        <w:ind w:firstLine="640" w:firstLineChars="200"/>
        <w:rPr>
          <w:rFonts w:hint="eastAsia" w:ascii="黑体" w:eastAsia="黑体"/>
          <w:sz w:val="32"/>
          <w:szCs w:val="32"/>
        </w:rPr>
      </w:pPr>
    </w:p>
    <w:p w14:paraId="715FC49C">
      <w:pPr>
        <w:ind w:firstLine="640" w:firstLineChars="200"/>
        <w:rPr>
          <w:rFonts w:hint="eastAsia" w:ascii="黑体" w:eastAsia="黑体"/>
          <w:sz w:val="32"/>
          <w:szCs w:val="32"/>
        </w:rPr>
      </w:pPr>
    </w:p>
    <w:p w14:paraId="66D819B2">
      <w:pPr>
        <w:ind w:firstLine="640" w:firstLineChars="200"/>
        <w:rPr>
          <w:rFonts w:ascii="黑体" w:eastAsia="黑体"/>
          <w:sz w:val="32"/>
          <w:szCs w:val="32"/>
        </w:rPr>
      </w:pPr>
      <w:r>
        <w:rPr>
          <w:rFonts w:hint="eastAsia" w:ascii="黑体" w:eastAsia="黑体"/>
          <w:sz w:val="32"/>
          <w:szCs w:val="32"/>
        </w:rPr>
        <w:t>三、收到和处理政府信息公开申请情况</w:t>
      </w:r>
    </w:p>
    <w:tbl>
      <w:tblPr>
        <w:tblStyle w:val="6"/>
        <w:tblW w:w="93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16"/>
        <w:gridCol w:w="816"/>
        <w:gridCol w:w="2271"/>
        <w:gridCol w:w="676"/>
        <w:gridCol w:w="827"/>
        <w:gridCol w:w="828"/>
        <w:gridCol w:w="828"/>
        <w:gridCol w:w="828"/>
        <w:gridCol w:w="828"/>
        <w:gridCol w:w="828"/>
      </w:tblGrid>
      <w:tr w14:paraId="54FA5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03" w:type="dxa"/>
            <w:gridSpan w:val="3"/>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FC06DF8">
            <w:pPr>
              <w:widowControl/>
              <w:jc w:val="center"/>
              <w:rPr>
                <w:rFonts w:ascii="宋体" w:eastAsia="宋体" w:cs="宋体"/>
                <w:kern w:val="0"/>
                <w:sz w:val="24"/>
                <w:szCs w:val="24"/>
              </w:rPr>
            </w:pPr>
            <w:r>
              <w:rPr>
                <w:rFonts w:hint="eastAsia" w:ascii="宋体" w:eastAsia="宋体" w:cs="宋体"/>
                <w:kern w:val="0"/>
                <w:sz w:val="20"/>
                <w:szCs w:val="20"/>
              </w:rPr>
              <w:t>（本列数据的勾稽关系为：第一项加第二项之和，等于第三项加第四项之和）</w:t>
            </w:r>
          </w:p>
        </w:tc>
        <w:tc>
          <w:tcPr>
            <w:tcW w:w="5643" w:type="dxa"/>
            <w:gridSpan w:val="7"/>
            <w:tcBorders>
              <w:top w:val="single" w:color="auto" w:sz="8" w:space="0"/>
              <w:left w:val="nil"/>
              <w:bottom w:val="single" w:color="auto" w:sz="8" w:space="0"/>
              <w:right w:val="single" w:color="auto" w:sz="8" w:space="0"/>
            </w:tcBorders>
            <w:tcMar>
              <w:left w:w="108" w:type="dxa"/>
              <w:right w:w="108" w:type="dxa"/>
            </w:tcMar>
            <w:vAlign w:val="center"/>
          </w:tcPr>
          <w:p w14:paraId="6E30AA75">
            <w:pPr>
              <w:widowControl/>
              <w:jc w:val="center"/>
              <w:rPr>
                <w:rFonts w:ascii="宋体" w:eastAsia="宋体" w:cs="宋体"/>
                <w:kern w:val="0"/>
                <w:sz w:val="24"/>
                <w:szCs w:val="24"/>
              </w:rPr>
            </w:pPr>
            <w:r>
              <w:rPr>
                <w:rFonts w:hint="eastAsia" w:ascii="宋体" w:eastAsia="宋体" w:cs="宋体"/>
                <w:kern w:val="0"/>
                <w:sz w:val="20"/>
                <w:szCs w:val="20"/>
              </w:rPr>
              <w:t>申请人情况</w:t>
            </w:r>
          </w:p>
        </w:tc>
      </w:tr>
      <w:tr w14:paraId="6D751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03" w:type="dxa"/>
            <w:gridSpan w:val="3"/>
            <w:vMerge w:val="continue"/>
            <w:tcBorders>
              <w:top w:val="single" w:color="auto" w:sz="8" w:space="0"/>
              <w:left w:val="single" w:color="auto" w:sz="8" w:space="0"/>
              <w:bottom w:val="single" w:color="auto" w:sz="8" w:space="0"/>
              <w:right w:val="single" w:color="auto" w:sz="8" w:space="0"/>
            </w:tcBorders>
            <w:vAlign w:val="center"/>
          </w:tcPr>
          <w:p w14:paraId="4ED06C30"/>
        </w:tc>
        <w:tc>
          <w:tcPr>
            <w:tcW w:w="676" w:type="dxa"/>
            <w:vMerge w:val="restart"/>
            <w:tcBorders>
              <w:top w:val="nil"/>
              <w:left w:val="nil"/>
              <w:bottom w:val="single" w:color="auto" w:sz="8" w:space="0"/>
              <w:right w:val="single" w:color="auto" w:sz="8" w:space="0"/>
            </w:tcBorders>
            <w:tcMar>
              <w:left w:w="108" w:type="dxa"/>
              <w:right w:w="108" w:type="dxa"/>
            </w:tcMar>
            <w:vAlign w:val="center"/>
          </w:tcPr>
          <w:p w14:paraId="580616D7">
            <w:pPr>
              <w:widowControl/>
              <w:jc w:val="center"/>
              <w:rPr>
                <w:rFonts w:ascii="宋体" w:eastAsia="宋体" w:cs="宋体"/>
                <w:kern w:val="0"/>
                <w:sz w:val="24"/>
                <w:szCs w:val="24"/>
              </w:rPr>
            </w:pPr>
            <w:r>
              <w:rPr>
                <w:rFonts w:hint="eastAsia" w:ascii="宋体" w:eastAsia="宋体" w:cs="宋体"/>
                <w:kern w:val="0"/>
                <w:sz w:val="20"/>
                <w:szCs w:val="20"/>
              </w:rPr>
              <w:t>自然人</w:t>
            </w:r>
          </w:p>
        </w:tc>
        <w:tc>
          <w:tcPr>
            <w:tcW w:w="4139" w:type="dxa"/>
            <w:gridSpan w:val="5"/>
            <w:tcBorders>
              <w:top w:val="single" w:color="auto" w:sz="8" w:space="0"/>
              <w:left w:val="nil"/>
              <w:bottom w:val="single" w:color="auto" w:sz="8" w:space="0"/>
              <w:right w:val="single" w:color="auto" w:sz="8" w:space="0"/>
            </w:tcBorders>
            <w:tcMar>
              <w:left w:w="108" w:type="dxa"/>
              <w:right w:w="108" w:type="dxa"/>
            </w:tcMar>
            <w:vAlign w:val="center"/>
          </w:tcPr>
          <w:p w14:paraId="0BE7C1BA">
            <w:pPr>
              <w:widowControl/>
              <w:jc w:val="center"/>
              <w:rPr>
                <w:rFonts w:ascii="宋体" w:eastAsia="宋体" w:cs="宋体"/>
                <w:kern w:val="0"/>
                <w:sz w:val="24"/>
                <w:szCs w:val="24"/>
              </w:rPr>
            </w:pPr>
            <w:r>
              <w:rPr>
                <w:rFonts w:hint="eastAsia" w:ascii="宋体" w:eastAsia="宋体" w:cs="宋体"/>
                <w:kern w:val="0"/>
                <w:sz w:val="20"/>
                <w:szCs w:val="20"/>
              </w:rPr>
              <w:t>法人或其他组织</w:t>
            </w:r>
          </w:p>
        </w:tc>
        <w:tc>
          <w:tcPr>
            <w:tcW w:w="828" w:type="dxa"/>
            <w:vMerge w:val="restart"/>
            <w:tcBorders>
              <w:top w:val="single" w:color="auto" w:sz="8" w:space="0"/>
              <w:left w:val="nil"/>
              <w:bottom w:val="single" w:color="auto" w:sz="8" w:space="0"/>
              <w:right w:val="single" w:color="auto" w:sz="8" w:space="0"/>
            </w:tcBorders>
            <w:tcMar>
              <w:left w:w="108" w:type="dxa"/>
              <w:right w:w="108" w:type="dxa"/>
            </w:tcMar>
            <w:vAlign w:val="center"/>
          </w:tcPr>
          <w:p w14:paraId="2207C20C">
            <w:pPr>
              <w:widowControl/>
              <w:jc w:val="center"/>
              <w:rPr>
                <w:rFonts w:ascii="宋体" w:eastAsia="宋体" w:cs="宋体"/>
                <w:kern w:val="0"/>
                <w:sz w:val="24"/>
                <w:szCs w:val="24"/>
              </w:rPr>
            </w:pPr>
            <w:r>
              <w:rPr>
                <w:rFonts w:hint="eastAsia" w:ascii="宋体" w:eastAsia="宋体" w:cs="宋体"/>
                <w:kern w:val="0"/>
                <w:sz w:val="20"/>
                <w:szCs w:val="20"/>
              </w:rPr>
              <w:t>总计</w:t>
            </w:r>
          </w:p>
        </w:tc>
      </w:tr>
      <w:tr w14:paraId="7F9EA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03" w:type="dxa"/>
            <w:gridSpan w:val="3"/>
            <w:vMerge w:val="continue"/>
            <w:tcBorders>
              <w:top w:val="single" w:color="auto" w:sz="8" w:space="0"/>
              <w:left w:val="single" w:color="auto" w:sz="8" w:space="0"/>
              <w:bottom w:val="single" w:color="auto" w:sz="8" w:space="0"/>
              <w:right w:val="single" w:color="auto" w:sz="8" w:space="0"/>
            </w:tcBorders>
            <w:vAlign w:val="center"/>
          </w:tcPr>
          <w:p w14:paraId="10EFA926"/>
        </w:tc>
        <w:tc>
          <w:tcPr>
            <w:tcW w:w="676" w:type="dxa"/>
            <w:vMerge w:val="continue"/>
            <w:tcBorders>
              <w:top w:val="nil"/>
              <w:left w:val="nil"/>
              <w:bottom w:val="single" w:color="auto" w:sz="8" w:space="0"/>
              <w:right w:val="single" w:color="auto" w:sz="8" w:space="0"/>
            </w:tcBorders>
            <w:vAlign w:val="center"/>
          </w:tcPr>
          <w:p w14:paraId="4E771EF9"/>
        </w:tc>
        <w:tc>
          <w:tcPr>
            <w:tcW w:w="827" w:type="dxa"/>
            <w:tcBorders>
              <w:top w:val="nil"/>
              <w:left w:val="nil"/>
              <w:bottom w:val="single" w:color="auto" w:sz="8" w:space="0"/>
              <w:right w:val="single" w:color="auto" w:sz="8" w:space="0"/>
            </w:tcBorders>
            <w:tcMar>
              <w:left w:w="108" w:type="dxa"/>
              <w:right w:w="108" w:type="dxa"/>
            </w:tcMar>
            <w:vAlign w:val="center"/>
          </w:tcPr>
          <w:p w14:paraId="703EBB57">
            <w:pPr>
              <w:widowControl/>
              <w:jc w:val="center"/>
              <w:rPr>
                <w:rFonts w:ascii="宋体" w:eastAsia="宋体" w:cs="宋体"/>
                <w:kern w:val="0"/>
                <w:sz w:val="24"/>
                <w:szCs w:val="24"/>
              </w:rPr>
            </w:pPr>
            <w:r>
              <w:rPr>
                <w:rFonts w:hint="eastAsia" w:ascii="宋体" w:eastAsia="宋体" w:cs="宋体"/>
                <w:kern w:val="0"/>
                <w:sz w:val="20"/>
                <w:szCs w:val="20"/>
              </w:rPr>
              <w:t>商业 企业</w:t>
            </w:r>
          </w:p>
        </w:tc>
        <w:tc>
          <w:tcPr>
            <w:tcW w:w="828" w:type="dxa"/>
            <w:tcBorders>
              <w:top w:val="nil"/>
              <w:left w:val="nil"/>
              <w:bottom w:val="single" w:color="auto" w:sz="8" w:space="0"/>
              <w:right w:val="single" w:color="auto" w:sz="8" w:space="0"/>
            </w:tcBorders>
            <w:tcMar>
              <w:left w:w="108" w:type="dxa"/>
              <w:right w:w="108" w:type="dxa"/>
            </w:tcMar>
            <w:vAlign w:val="center"/>
          </w:tcPr>
          <w:p w14:paraId="036A1640">
            <w:pPr>
              <w:widowControl/>
              <w:jc w:val="center"/>
              <w:rPr>
                <w:rFonts w:ascii="宋体" w:eastAsia="宋体" w:cs="宋体"/>
                <w:kern w:val="0"/>
                <w:sz w:val="24"/>
                <w:szCs w:val="24"/>
              </w:rPr>
            </w:pPr>
            <w:r>
              <w:rPr>
                <w:rFonts w:hint="eastAsia" w:ascii="宋体" w:eastAsia="宋体" w:cs="宋体"/>
                <w:kern w:val="0"/>
                <w:sz w:val="20"/>
                <w:szCs w:val="20"/>
              </w:rPr>
              <w:t>科研 机构</w:t>
            </w:r>
          </w:p>
        </w:tc>
        <w:tc>
          <w:tcPr>
            <w:tcW w:w="828" w:type="dxa"/>
            <w:tcBorders>
              <w:top w:val="single" w:color="auto" w:sz="8" w:space="0"/>
              <w:left w:val="nil"/>
              <w:bottom w:val="single" w:color="auto" w:sz="8" w:space="0"/>
              <w:right w:val="single" w:color="auto" w:sz="8" w:space="0"/>
            </w:tcBorders>
            <w:tcMar>
              <w:left w:w="108" w:type="dxa"/>
              <w:right w:w="108" w:type="dxa"/>
            </w:tcMar>
            <w:vAlign w:val="center"/>
          </w:tcPr>
          <w:p w14:paraId="1EAD18EB">
            <w:pPr>
              <w:widowControl/>
              <w:jc w:val="center"/>
              <w:rPr>
                <w:rFonts w:ascii="宋体" w:eastAsia="宋体" w:cs="宋体"/>
                <w:kern w:val="0"/>
                <w:sz w:val="24"/>
                <w:szCs w:val="24"/>
              </w:rPr>
            </w:pPr>
            <w:r>
              <w:rPr>
                <w:rFonts w:hint="eastAsia" w:ascii="宋体" w:eastAsia="宋体" w:cs="宋体"/>
                <w:kern w:val="0"/>
                <w:sz w:val="20"/>
                <w:szCs w:val="20"/>
              </w:rPr>
              <w:t>社会公益组织</w:t>
            </w:r>
          </w:p>
        </w:tc>
        <w:tc>
          <w:tcPr>
            <w:tcW w:w="828" w:type="dxa"/>
            <w:tcBorders>
              <w:top w:val="single" w:color="auto" w:sz="8" w:space="0"/>
              <w:left w:val="nil"/>
              <w:bottom w:val="single" w:color="auto" w:sz="8" w:space="0"/>
              <w:right w:val="single" w:color="auto" w:sz="8" w:space="0"/>
            </w:tcBorders>
            <w:tcMar>
              <w:left w:w="108" w:type="dxa"/>
              <w:right w:w="108" w:type="dxa"/>
            </w:tcMar>
            <w:vAlign w:val="center"/>
          </w:tcPr>
          <w:p w14:paraId="77E193B2">
            <w:pPr>
              <w:widowControl/>
              <w:jc w:val="center"/>
              <w:rPr>
                <w:rFonts w:ascii="宋体" w:eastAsia="宋体" w:cs="宋体"/>
                <w:kern w:val="0"/>
                <w:sz w:val="24"/>
                <w:szCs w:val="24"/>
              </w:rPr>
            </w:pPr>
            <w:r>
              <w:rPr>
                <w:rFonts w:hint="eastAsia" w:ascii="宋体" w:eastAsia="宋体" w:cs="宋体"/>
                <w:kern w:val="0"/>
                <w:sz w:val="20"/>
                <w:szCs w:val="20"/>
              </w:rPr>
              <w:t>法律服务机构</w:t>
            </w:r>
          </w:p>
        </w:tc>
        <w:tc>
          <w:tcPr>
            <w:tcW w:w="828" w:type="dxa"/>
            <w:tcBorders>
              <w:top w:val="single" w:color="auto" w:sz="8" w:space="0"/>
              <w:left w:val="nil"/>
              <w:bottom w:val="single" w:color="auto" w:sz="8" w:space="0"/>
              <w:right w:val="single" w:color="auto" w:sz="8" w:space="0"/>
            </w:tcBorders>
            <w:tcMar>
              <w:left w:w="108" w:type="dxa"/>
              <w:right w:w="108" w:type="dxa"/>
            </w:tcMar>
            <w:vAlign w:val="center"/>
          </w:tcPr>
          <w:p w14:paraId="7C50C3A8">
            <w:pPr>
              <w:widowControl/>
              <w:jc w:val="center"/>
              <w:rPr>
                <w:rFonts w:ascii="宋体" w:eastAsia="宋体" w:cs="宋体"/>
                <w:kern w:val="0"/>
                <w:sz w:val="24"/>
                <w:szCs w:val="24"/>
              </w:rPr>
            </w:pPr>
            <w:r>
              <w:rPr>
                <w:rFonts w:hint="eastAsia" w:ascii="宋体" w:eastAsia="宋体" w:cs="宋体"/>
                <w:kern w:val="0"/>
                <w:sz w:val="20"/>
                <w:szCs w:val="20"/>
              </w:rPr>
              <w:t>其他</w:t>
            </w:r>
          </w:p>
        </w:tc>
        <w:tc>
          <w:tcPr>
            <w:tcW w:w="828" w:type="dxa"/>
            <w:vMerge w:val="continue"/>
            <w:tcBorders>
              <w:top w:val="single" w:color="auto" w:sz="8" w:space="0"/>
              <w:left w:val="nil"/>
              <w:bottom w:val="single" w:color="auto" w:sz="8" w:space="0"/>
              <w:right w:val="single" w:color="auto" w:sz="8" w:space="0"/>
            </w:tcBorders>
            <w:vAlign w:val="center"/>
          </w:tcPr>
          <w:p w14:paraId="31955C76"/>
        </w:tc>
      </w:tr>
      <w:tr w14:paraId="734E9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03" w:type="dxa"/>
            <w:gridSpan w:val="3"/>
            <w:tcBorders>
              <w:top w:val="nil"/>
              <w:left w:val="single" w:color="auto" w:sz="8" w:space="0"/>
              <w:bottom w:val="single" w:color="auto" w:sz="8" w:space="0"/>
              <w:right w:val="single" w:color="auto" w:sz="8" w:space="0"/>
            </w:tcBorders>
            <w:tcMar>
              <w:left w:w="108" w:type="dxa"/>
              <w:right w:w="108" w:type="dxa"/>
            </w:tcMar>
            <w:vAlign w:val="center"/>
          </w:tcPr>
          <w:p w14:paraId="62802D47">
            <w:pPr>
              <w:widowControl/>
              <w:jc w:val="left"/>
              <w:rPr>
                <w:rFonts w:ascii="宋体" w:eastAsia="宋体" w:cs="宋体"/>
                <w:kern w:val="0"/>
                <w:sz w:val="24"/>
                <w:szCs w:val="24"/>
              </w:rPr>
            </w:pPr>
            <w:r>
              <w:rPr>
                <w:rFonts w:hint="eastAsia" w:ascii="宋体" w:eastAsia="宋体" w:cs="宋体"/>
                <w:kern w:val="0"/>
                <w:sz w:val="20"/>
                <w:szCs w:val="20"/>
              </w:rPr>
              <w:t>一、本年新收政府信息公开申请数量</w:t>
            </w:r>
          </w:p>
        </w:tc>
        <w:tc>
          <w:tcPr>
            <w:tcW w:w="676" w:type="dxa"/>
            <w:tcBorders>
              <w:top w:val="nil"/>
              <w:left w:val="nil"/>
              <w:bottom w:val="single" w:color="auto" w:sz="8" w:space="0"/>
              <w:right w:val="single" w:color="auto" w:sz="8" w:space="0"/>
            </w:tcBorders>
            <w:tcMar>
              <w:left w:w="108" w:type="dxa"/>
              <w:right w:w="108" w:type="dxa"/>
            </w:tcMar>
            <w:vAlign w:val="center"/>
          </w:tcPr>
          <w:p w14:paraId="7494957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rPr>
            </w:pPr>
            <w:r>
              <w:rPr>
                <w:rFonts w:hint="eastAsia" w:ascii="Times New Roman" w:hAnsi="Times New Roman" w:cs="Times New Roman"/>
                <w:kern w:val="0"/>
                <w:sz w:val="18"/>
                <w:szCs w:val="18"/>
                <w:lang w:val="en-US" w:eastAsia="zh-CN"/>
              </w:rPr>
              <w:t xml:space="preserve"> </w:t>
            </w:r>
          </w:p>
        </w:tc>
        <w:tc>
          <w:tcPr>
            <w:tcW w:w="827" w:type="dxa"/>
            <w:tcBorders>
              <w:top w:val="nil"/>
              <w:left w:val="nil"/>
              <w:bottom w:val="single" w:color="auto" w:sz="8" w:space="0"/>
              <w:right w:val="single" w:color="auto" w:sz="8" w:space="0"/>
            </w:tcBorders>
            <w:tcMar>
              <w:left w:w="108" w:type="dxa"/>
              <w:right w:w="108" w:type="dxa"/>
            </w:tcMar>
            <w:vAlign w:val="center"/>
          </w:tcPr>
          <w:p w14:paraId="2CE11C4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03D8E581">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4CBD638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0D07127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50532647">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1BBBBF8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r>
      <w:tr w14:paraId="431A8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03" w:type="dxa"/>
            <w:gridSpan w:val="3"/>
            <w:tcBorders>
              <w:top w:val="nil"/>
              <w:left w:val="single" w:color="auto" w:sz="8" w:space="0"/>
              <w:bottom w:val="single" w:color="auto" w:sz="4" w:space="0"/>
              <w:right w:val="single" w:color="auto" w:sz="8" w:space="0"/>
            </w:tcBorders>
            <w:tcMar>
              <w:left w:w="108" w:type="dxa"/>
              <w:right w:w="108" w:type="dxa"/>
            </w:tcMar>
            <w:vAlign w:val="center"/>
          </w:tcPr>
          <w:p w14:paraId="0049EA02">
            <w:pPr>
              <w:widowControl/>
              <w:jc w:val="left"/>
              <w:rPr>
                <w:rFonts w:ascii="宋体" w:eastAsia="宋体" w:cs="宋体"/>
                <w:kern w:val="0"/>
                <w:sz w:val="24"/>
                <w:szCs w:val="24"/>
              </w:rPr>
            </w:pPr>
            <w:r>
              <w:rPr>
                <w:rFonts w:hint="eastAsia" w:ascii="宋体" w:eastAsia="宋体" w:cs="宋体"/>
                <w:kern w:val="0"/>
                <w:sz w:val="20"/>
                <w:szCs w:val="20"/>
              </w:rPr>
              <w:t>二、上年结转政府信息公开申请数量</w:t>
            </w:r>
          </w:p>
        </w:tc>
        <w:tc>
          <w:tcPr>
            <w:tcW w:w="676" w:type="dxa"/>
            <w:tcBorders>
              <w:top w:val="nil"/>
              <w:left w:val="nil"/>
              <w:bottom w:val="single" w:color="auto" w:sz="4" w:space="0"/>
              <w:right w:val="single" w:color="auto" w:sz="8" w:space="0"/>
            </w:tcBorders>
            <w:tcMar>
              <w:left w:w="108" w:type="dxa"/>
              <w:right w:w="108" w:type="dxa"/>
            </w:tcMar>
            <w:vAlign w:val="center"/>
          </w:tcPr>
          <w:p w14:paraId="2CF9E98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c>
          <w:tcPr>
            <w:tcW w:w="827" w:type="dxa"/>
            <w:tcBorders>
              <w:top w:val="nil"/>
              <w:left w:val="nil"/>
              <w:bottom w:val="single" w:color="auto" w:sz="4" w:space="0"/>
              <w:right w:val="single" w:color="auto" w:sz="8" w:space="0"/>
            </w:tcBorders>
            <w:tcMar>
              <w:left w:w="108" w:type="dxa"/>
              <w:right w:w="108" w:type="dxa"/>
            </w:tcMar>
            <w:vAlign w:val="center"/>
          </w:tcPr>
          <w:p w14:paraId="31A42F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0"/>
                <w:sz w:val="18"/>
                <w:szCs w:val="18"/>
                <w:lang w:val="en-US" w:eastAsia="zh-CN" w:bidi="ar-SA"/>
              </w:rPr>
            </w:pPr>
            <w:r>
              <w:rPr>
                <w:rFonts w:hint="eastAsia" w:ascii="Times New Roman" w:hAnsi="Times New Roman" w:cs="Times New Roman"/>
                <w:kern w:val="0"/>
                <w:sz w:val="18"/>
                <w:szCs w:val="18"/>
                <w:lang w:val="en-US" w:eastAsia="zh-CN"/>
              </w:rPr>
              <w:t xml:space="preserve"> </w:t>
            </w:r>
          </w:p>
        </w:tc>
        <w:tc>
          <w:tcPr>
            <w:tcW w:w="828" w:type="dxa"/>
            <w:tcBorders>
              <w:top w:val="nil"/>
              <w:left w:val="nil"/>
              <w:bottom w:val="single" w:color="auto" w:sz="4" w:space="0"/>
              <w:right w:val="single" w:color="auto" w:sz="8" w:space="0"/>
            </w:tcBorders>
            <w:tcMar>
              <w:left w:w="108" w:type="dxa"/>
              <w:right w:w="108" w:type="dxa"/>
            </w:tcMar>
            <w:vAlign w:val="center"/>
          </w:tcPr>
          <w:p w14:paraId="3F43E1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0"/>
                <w:sz w:val="18"/>
                <w:szCs w:val="18"/>
                <w:lang w:val="en-US" w:eastAsia="zh-CN" w:bidi="ar-SA"/>
              </w:rPr>
            </w:pPr>
            <w:r>
              <w:rPr>
                <w:rFonts w:hint="eastAsia" w:ascii="Times New Roman" w:hAnsi="Times New Roman" w:cs="Times New Roman"/>
                <w:kern w:val="0"/>
                <w:sz w:val="18"/>
                <w:szCs w:val="18"/>
                <w:lang w:val="en-US" w:eastAsia="zh-CN"/>
              </w:rPr>
              <w:t xml:space="preserve"> </w:t>
            </w:r>
          </w:p>
        </w:tc>
        <w:tc>
          <w:tcPr>
            <w:tcW w:w="828" w:type="dxa"/>
            <w:tcBorders>
              <w:top w:val="nil"/>
              <w:left w:val="nil"/>
              <w:bottom w:val="single" w:color="auto" w:sz="4" w:space="0"/>
              <w:right w:val="single" w:color="auto" w:sz="8" w:space="0"/>
            </w:tcBorders>
            <w:tcMar>
              <w:left w:w="108" w:type="dxa"/>
              <w:right w:w="108" w:type="dxa"/>
            </w:tcMar>
            <w:vAlign w:val="center"/>
          </w:tcPr>
          <w:p w14:paraId="6F400F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0"/>
                <w:sz w:val="18"/>
                <w:szCs w:val="18"/>
                <w:lang w:val="en-US" w:eastAsia="zh-CN" w:bidi="ar-SA"/>
              </w:rPr>
            </w:pPr>
            <w:r>
              <w:rPr>
                <w:rFonts w:hint="eastAsia" w:ascii="Times New Roman" w:hAnsi="Times New Roman" w:cs="Times New Roman"/>
                <w:kern w:val="0"/>
                <w:sz w:val="18"/>
                <w:szCs w:val="18"/>
                <w:lang w:val="en-US" w:eastAsia="zh-CN"/>
              </w:rPr>
              <w:t xml:space="preserve"> </w:t>
            </w:r>
          </w:p>
        </w:tc>
        <w:tc>
          <w:tcPr>
            <w:tcW w:w="828" w:type="dxa"/>
            <w:tcBorders>
              <w:top w:val="nil"/>
              <w:left w:val="nil"/>
              <w:bottom w:val="single" w:color="auto" w:sz="4" w:space="0"/>
              <w:right w:val="single" w:color="auto" w:sz="8" w:space="0"/>
            </w:tcBorders>
            <w:tcMar>
              <w:left w:w="108" w:type="dxa"/>
              <w:right w:w="108" w:type="dxa"/>
            </w:tcMar>
            <w:vAlign w:val="center"/>
          </w:tcPr>
          <w:p w14:paraId="34BF17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0"/>
                <w:sz w:val="18"/>
                <w:szCs w:val="18"/>
                <w:lang w:val="en-US" w:eastAsia="zh-CN" w:bidi="ar-SA"/>
              </w:rPr>
            </w:pPr>
            <w:r>
              <w:rPr>
                <w:rFonts w:hint="eastAsia"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0DE2A3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0"/>
                <w:sz w:val="18"/>
                <w:szCs w:val="18"/>
                <w:lang w:val="en-US" w:eastAsia="zh-CN" w:bidi="ar-SA"/>
              </w:rPr>
            </w:pPr>
            <w:r>
              <w:rPr>
                <w:rFonts w:hint="eastAsia"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78CFB4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0"/>
                <w:sz w:val="18"/>
                <w:szCs w:val="18"/>
                <w:lang w:val="en-US" w:eastAsia="zh-CN" w:bidi="ar-SA"/>
              </w:rPr>
            </w:pPr>
            <w:r>
              <w:rPr>
                <w:rFonts w:hint="eastAsia" w:ascii="Times New Roman" w:hAnsi="Times New Roman" w:cs="Times New Roman"/>
                <w:kern w:val="0"/>
                <w:sz w:val="18"/>
                <w:szCs w:val="18"/>
                <w:lang w:val="en-US" w:eastAsia="zh-CN"/>
              </w:rPr>
              <w:t xml:space="preserve"> </w:t>
            </w:r>
          </w:p>
        </w:tc>
      </w:tr>
      <w:tr w14:paraId="19248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6"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DC3A8D0">
            <w:pPr>
              <w:widowControl/>
              <w:jc w:val="center"/>
              <w:rPr>
                <w:rFonts w:ascii="宋体" w:eastAsia="宋体" w:cs="宋体"/>
                <w:kern w:val="0"/>
                <w:sz w:val="24"/>
                <w:szCs w:val="24"/>
              </w:rPr>
            </w:pPr>
            <w:r>
              <w:rPr>
                <w:rFonts w:hint="eastAsia" w:ascii="宋体" w:eastAsia="宋体" w:cs="宋体"/>
                <w:kern w:val="0"/>
                <w:sz w:val="20"/>
                <w:szCs w:val="20"/>
              </w:rPr>
              <w:t>三、本年度办理结果</w:t>
            </w:r>
          </w:p>
        </w:tc>
        <w:tc>
          <w:tcPr>
            <w:tcW w:w="3087"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2051826">
            <w:pPr>
              <w:widowControl/>
              <w:jc w:val="left"/>
              <w:rPr>
                <w:rFonts w:ascii="宋体" w:eastAsia="宋体" w:cs="宋体"/>
                <w:kern w:val="0"/>
                <w:sz w:val="24"/>
                <w:szCs w:val="24"/>
              </w:rPr>
            </w:pPr>
            <w:r>
              <w:rPr>
                <w:rFonts w:hint="eastAsia" w:ascii="楷体" w:eastAsia="楷体" w:cs="宋体"/>
                <w:kern w:val="0"/>
                <w:sz w:val="20"/>
                <w:szCs w:val="20"/>
              </w:rPr>
              <w:t>（一）予以公开</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2FCD40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7302AF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62684AC">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1931486">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94C907B">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38BDA0C3">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8" w:space="0"/>
              <w:left w:val="nil"/>
              <w:bottom w:val="single" w:color="auto" w:sz="8" w:space="0"/>
              <w:right w:val="single" w:color="auto" w:sz="8" w:space="0"/>
            </w:tcBorders>
            <w:tcMar>
              <w:left w:w="108" w:type="dxa"/>
              <w:right w:w="108" w:type="dxa"/>
            </w:tcMar>
            <w:vAlign w:val="center"/>
          </w:tcPr>
          <w:p w14:paraId="027F0D1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r>
      <w:tr w14:paraId="1E590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9"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14:paraId="7B252B46"/>
        </w:tc>
        <w:tc>
          <w:tcPr>
            <w:tcW w:w="3087"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617198A">
            <w:pPr>
              <w:widowControl/>
              <w:jc w:val="left"/>
              <w:rPr>
                <w:rFonts w:ascii="宋体" w:eastAsia="宋体" w:cs="宋体"/>
                <w:kern w:val="0"/>
                <w:sz w:val="24"/>
                <w:szCs w:val="24"/>
              </w:rPr>
            </w:pPr>
            <w:r>
              <w:rPr>
                <w:rFonts w:hint="eastAsia" w:ascii="楷体" w:eastAsia="楷体" w:cs="宋体"/>
                <w:kern w:val="0"/>
                <w:sz w:val="20"/>
                <w:szCs w:val="20"/>
              </w:rPr>
              <w:t>（二）部分公开（区分处理的，只计这一情形，不计其他情形）</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7CD5CD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940A40A">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851B398">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2025567">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F3BA319">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5C10FCEF">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2056EDB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r>
      <w:tr w14:paraId="2287E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vMerge w:val="continue"/>
            <w:tcBorders>
              <w:top w:val="single" w:color="auto" w:sz="4" w:space="0"/>
              <w:left w:val="single" w:color="auto" w:sz="4" w:space="0"/>
              <w:bottom w:val="single" w:color="auto" w:sz="4" w:space="0"/>
              <w:right w:val="single" w:color="auto" w:sz="4" w:space="0"/>
            </w:tcBorders>
            <w:vAlign w:val="center"/>
          </w:tcPr>
          <w:p w14:paraId="07276879"/>
        </w:tc>
        <w:tc>
          <w:tcPr>
            <w:tcW w:w="816"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0A919CB">
            <w:pPr>
              <w:widowControl/>
              <w:jc w:val="left"/>
              <w:rPr>
                <w:rFonts w:ascii="宋体" w:eastAsia="宋体" w:cs="宋体"/>
                <w:kern w:val="0"/>
                <w:sz w:val="24"/>
                <w:szCs w:val="24"/>
              </w:rPr>
            </w:pPr>
            <w:r>
              <w:rPr>
                <w:rFonts w:hint="eastAsia" w:ascii="楷体" w:eastAsia="楷体" w:cs="宋体"/>
                <w:kern w:val="0"/>
                <w:sz w:val="20"/>
                <w:szCs w:val="20"/>
              </w:rPr>
              <w:t>（三）不予公开</w:t>
            </w:r>
          </w:p>
        </w:tc>
        <w:tc>
          <w:tcPr>
            <w:tcW w:w="22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D66CCFA">
            <w:pPr>
              <w:widowControl/>
              <w:jc w:val="left"/>
              <w:rPr>
                <w:rFonts w:ascii="宋体" w:eastAsia="宋体" w:cs="宋体"/>
                <w:kern w:val="0"/>
                <w:sz w:val="24"/>
                <w:szCs w:val="24"/>
              </w:rPr>
            </w:pPr>
            <w:r>
              <w:rPr>
                <w:rFonts w:hint="eastAsia" w:ascii="楷体" w:eastAsia="楷体" w:cs="宋体"/>
                <w:kern w:val="0"/>
                <w:sz w:val="20"/>
                <w:szCs w:val="20"/>
              </w:rPr>
              <w:t>1.属于国家秘密</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9F48C5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2ED685D">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C7C8964">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BD8C20C">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B8324FB">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5B3FDD1E">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8" w:space="0"/>
              <w:left w:val="nil"/>
              <w:bottom w:val="single" w:color="auto" w:sz="8" w:space="0"/>
              <w:right w:val="single" w:color="auto" w:sz="8" w:space="0"/>
            </w:tcBorders>
            <w:tcMar>
              <w:left w:w="108" w:type="dxa"/>
              <w:right w:w="108" w:type="dxa"/>
            </w:tcMar>
            <w:vAlign w:val="center"/>
          </w:tcPr>
          <w:p w14:paraId="5B3137E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r>
      <w:tr w14:paraId="14573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vMerge w:val="continue"/>
            <w:tcBorders>
              <w:top w:val="single" w:color="auto" w:sz="4" w:space="0"/>
              <w:left w:val="single" w:color="auto" w:sz="4" w:space="0"/>
              <w:bottom w:val="single" w:color="auto" w:sz="4" w:space="0"/>
              <w:right w:val="single" w:color="auto" w:sz="4" w:space="0"/>
            </w:tcBorders>
            <w:vAlign w:val="center"/>
          </w:tcPr>
          <w:p w14:paraId="63ABEF71"/>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141CDC45"/>
        </w:tc>
        <w:tc>
          <w:tcPr>
            <w:tcW w:w="22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B995DBA">
            <w:pPr>
              <w:widowControl/>
              <w:jc w:val="left"/>
              <w:rPr>
                <w:rFonts w:ascii="宋体" w:eastAsia="宋体" w:cs="宋体"/>
                <w:kern w:val="0"/>
                <w:sz w:val="24"/>
                <w:szCs w:val="24"/>
              </w:rPr>
            </w:pPr>
            <w:r>
              <w:rPr>
                <w:rFonts w:hint="eastAsia" w:ascii="楷体" w:eastAsia="楷体" w:cs="宋体"/>
                <w:kern w:val="0"/>
                <w:sz w:val="20"/>
                <w:szCs w:val="20"/>
              </w:rPr>
              <w:t>2.其他法律行政法规禁止公开</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73D73DE">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37CF93C">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552AAAA">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0EA2A47">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15B336E">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551C3C07">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38155CAF">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r>
      <w:tr w14:paraId="0A7D2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vMerge w:val="continue"/>
            <w:tcBorders>
              <w:top w:val="single" w:color="auto" w:sz="4" w:space="0"/>
              <w:left w:val="single" w:color="auto" w:sz="4" w:space="0"/>
              <w:bottom w:val="single" w:color="auto" w:sz="4" w:space="0"/>
              <w:right w:val="single" w:color="auto" w:sz="4" w:space="0"/>
            </w:tcBorders>
            <w:vAlign w:val="center"/>
          </w:tcPr>
          <w:p w14:paraId="0E89DB39"/>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1324A620"/>
        </w:tc>
        <w:tc>
          <w:tcPr>
            <w:tcW w:w="22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267875A">
            <w:pPr>
              <w:widowControl/>
              <w:jc w:val="left"/>
              <w:rPr>
                <w:rFonts w:ascii="宋体" w:eastAsia="宋体" w:cs="宋体"/>
                <w:kern w:val="0"/>
                <w:sz w:val="24"/>
                <w:szCs w:val="24"/>
              </w:rPr>
            </w:pPr>
            <w:r>
              <w:rPr>
                <w:rFonts w:hint="eastAsia" w:ascii="楷体" w:eastAsia="楷体" w:cs="宋体"/>
                <w:kern w:val="0"/>
                <w:sz w:val="20"/>
                <w:szCs w:val="20"/>
              </w:rPr>
              <w:t>3.危及“三安全一稳定”</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8712DF9">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EC2B9C0">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DFED685">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68A53C7">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2C1B888">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739315A3">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71E4D135">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r>
      <w:tr w14:paraId="591C2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vMerge w:val="continue"/>
            <w:tcBorders>
              <w:top w:val="single" w:color="auto" w:sz="4" w:space="0"/>
              <w:left w:val="single" w:color="auto" w:sz="4" w:space="0"/>
              <w:bottom w:val="single" w:color="auto" w:sz="4" w:space="0"/>
              <w:right w:val="single" w:color="auto" w:sz="4" w:space="0"/>
            </w:tcBorders>
            <w:vAlign w:val="center"/>
          </w:tcPr>
          <w:p w14:paraId="02B7E667"/>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4DC8F1A5"/>
        </w:tc>
        <w:tc>
          <w:tcPr>
            <w:tcW w:w="22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6464EA2">
            <w:pPr>
              <w:widowControl/>
              <w:jc w:val="left"/>
              <w:rPr>
                <w:rFonts w:ascii="宋体" w:eastAsia="宋体" w:cs="宋体"/>
                <w:kern w:val="0"/>
                <w:sz w:val="24"/>
                <w:szCs w:val="24"/>
              </w:rPr>
            </w:pPr>
            <w:r>
              <w:rPr>
                <w:rFonts w:hint="eastAsia" w:ascii="楷体" w:eastAsia="楷体" w:cs="宋体"/>
                <w:kern w:val="0"/>
                <w:sz w:val="20"/>
                <w:szCs w:val="20"/>
              </w:rPr>
              <w:t>4.保护第三方合法权益</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5D54302">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8201C14">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3A5B204">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84C8F8F">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25713EE">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1758B148">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73B441EF">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r>
      <w:tr w14:paraId="4F25D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vMerge w:val="continue"/>
            <w:tcBorders>
              <w:top w:val="single" w:color="auto" w:sz="4" w:space="0"/>
              <w:left w:val="single" w:color="auto" w:sz="4" w:space="0"/>
              <w:bottom w:val="single" w:color="auto" w:sz="4" w:space="0"/>
              <w:right w:val="single" w:color="auto" w:sz="4" w:space="0"/>
            </w:tcBorders>
            <w:vAlign w:val="center"/>
          </w:tcPr>
          <w:p w14:paraId="4C4E743A"/>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17BCB064"/>
        </w:tc>
        <w:tc>
          <w:tcPr>
            <w:tcW w:w="22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7BC7017">
            <w:pPr>
              <w:widowControl/>
              <w:jc w:val="left"/>
              <w:rPr>
                <w:rFonts w:ascii="宋体" w:eastAsia="宋体" w:cs="宋体"/>
                <w:kern w:val="0"/>
                <w:sz w:val="24"/>
                <w:szCs w:val="24"/>
              </w:rPr>
            </w:pPr>
            <w:r>
              <w:rPr>
                <w:rFonts w:hint="eastAsia" w:ascii="楷体" w:eastAsia="楷体" w:cs="宋体"/>
                <w:kern w:val="0"/>
                <w:sz w:val="20"/>
                <w:szCs w:val="20"/>
              </w:rPr>
              <w:t>5.属于三类内部事务信息</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09C0BF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6FA4CF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F17DAC0">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05C878E">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5C63B6C">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59E62584">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0122DD3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r>
      <w:tr w14:paraId="61548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vMerge w:val="continue"/>
            <w:tcBorders>
              <w:top w:val="single" w:color="auto" w:sz="4" w:space="0"/>
              <w:left w:val="single" w:color="auto" w:sz="4" w:space="0"/>
              <w:bottom w:val="single" w:color="auto" w:sz="4" w:space="0"/>
              <w:right w:val="single" w:color="auto" w:sz="4" w:space="0"/>
            </w:tcBorders>
            <w:vAlign w:val="center"/>
          </w:tcPr>
          <w:p w14:paraId="63319940"/>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2A9230C0"/>
        </w:tc>
        <w:tc>
          <w:tcPr>
            <w:tcW w:w="22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5193ABB">
            <w:pPr>
              <w:widowControl/>
              <w:jc w:val="left"/>
              <w:rPr>
                <w:rFonts w:ascii="宋体" w:eastAsia="宋体" w:cs="宋体"/>
                <w:kern w:val="0"/>
                <w:sz w:val="24"/>
                <w:szCs w:val="24"/>
              </w:rPr>
            </w:pPr>
            <w:r>
              <w:rPr>
                <w:rFonts w:hint="eastAsia" w:ascii="楷体" w:eastAsia="楷体" w:cs="宋体"/>
                <w:kern w:val="0"/>
                <w:sz w:val="20"/>
                <w:szCs w:val="20"/>
              </w:rPr>
              <w:t>6.属于四类过程性信息</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25386B9">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C17679C">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7A5E7E7">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01A30EB">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FC4FAE8">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2318EF3C">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1DB408C4">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r>
      <w:tr w14:paraId="220D7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vMerge w:val="continue"/>
            <w:tcBorders>
              <w:top w:val="single" w:color="auto" w:sz="4" w:space="0"/>
              <w:left w:val="single" w:color="auto" w:sz="4" w:space="0"/>
              <w:bottom w:val="single" w:color="auto" w:sz="4" w:space="0"/>
              <w:right w:val="single" w:color="auto" w:sz="4" w:space="0"/>
            </w:tcBorders>
            <w:vAlign w:val="center"/>
          </w:tcPr>
          <w:p w14:paraId="1BA93B3C"/>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58EA4B39"/>
        </w:tc>
        <w:tc>
          <w:tcPr>
            <w:tcW w:w="22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6A4F79F">
            <w:pPr>
              <w:widowControl/>
              <w:jc w:val="left"/>
              <w:rPr>
                <w:rFonts w:ascii="宋体" w:eastAsia="宋体" w:cs="宋体"/>
                <w:kern w:val="0"/>
                <w:sz w:val="24"/>
                <w:szCs w:val="24"/>
              </w:rPr>
            </w:pPr>
            <w:r>
              <w:rPr>
                <w:rFonts w:hint="eastAsia" w:ascii="楷体" w:eastAsia="楷体" w:cs="宋体"/>
                <w:kern w:val="0"/>
                <w:sz w:val="20"/>
                <w:szCs w:val="20"/>
              </w:rPr>
              <w:t>7.属于行政执法案卷</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E887F44">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40C8F17">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0C67F31">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EE0A8FF">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8D9A61B">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34F10510">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29D3B45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r>
      <w:tr w14:paraId="163C9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vMerge w:val="continue"/>
            <w:tcBorders>
              <w:top w:val="single" w:color="auto" w:sz="4" w:space="0"/>
              <w:left w:val="single" w:color="auto" w:sz="4" w:space="0"/>
              <w:bottom w:val="single" w:color="auto" w:sz="4" w:space="0"/>
              <w:right w:val="single" w:color="auto" w:sz="4" w:space="0"/>
            </w:tcBorders>
            <w:vAlign w:val="center"/>
          </w:tcPr>
          <w:p w14:paraId="7F97818A"/>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440713AA"/>
        </w:tc>
        <w:tc>
          <w:tcPr>
            <w:tcW w:w="22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C9A26E3">
            <w:pPr>
              <w:widowControl/>
              <w:jc w:val="left"/>
              <w:rPr>
                <w:rFonts w:ascii="宋体" w:eastAsia="宋体" w:cs="宋体"/>
                <w:kern w:val="0"/>
                <w:sz w:val="24"/>
                <w:szCs w:val="24"/>
              </w:rPr>
            </w:pPr>
            <w:r>
              <w:rPr>
                <w:rFonts w:hint="eastAsia" w:ascii="楷体" w:eastAsia="楷体" w:cs="宋体"/>
                <w:kern w:val="0"/>
                <w:sz w:val="20"/>
                <w:szCs w:val="20"/>
              </w:rPr>
              <w:t>8.属于行政查询事项</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D26506B">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A122FF2">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57C35A6">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385576E">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98D6FAD">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0A0AD052">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770FFC4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r>
      <w:tr w14:paraId="6141B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vMerge w:val="continue"/>
            <w:tcBorders>
              <w:top w:val="single" w:color="auto" w:sz="4" w:space="0"/>
              <w:left w:val="single" w:color="auto" w:sz="4" w:space="0"/>
              <w:bottom w:val="single" w:color="auto" w:sz="4" w:space="0"/>
              <w:right w:val="single" w:color="auto" w:sz="4" w:space="0"/>
            </w:tcBorders>
            <w:vAlign w:val="center"/>
          </w:tcPr>
          <w:p w14:paraId="639FD87B"/>
        </w:tc>
        <w:tc>
          <w:tcPr>
            <w:tcW w:w="816"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7DA413F">
            <w:pPr>
              <w:widowControl/>
              <w:jc w:val="left"/>
              <w:rPr>
                <w:rFonts w:ascii="宋体" w:eastAsia="宋体" w:cs="宋体"/>
                <w:kern w:val="0"/>
                <w:sz w:val="24"/>
                <w:szCs w:val="24"/>
              </w:rPr>
            </w:pPr>
            <w:r>
              <w:rPr>
                <w:rFonts w:hint="eastAsia" w:ascii="楷体" w:eastAsia="楷体" w:cs="宋体"/>
                <w:kern w:val="0"/>
                <w:sz w:val="20"/>
                <w:szCs w:val="20"/>
              </w:rPr>
              <w:t>（四）无法提供</w:t>
            </w:r>
          </w:p>
        </w:tc>
        <w:tc>
          <w:tcPr>
            <w:tcW w:w="22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FFDBDC3">
            <w:pPr>
              <w:widowControl/>
              <w:jc w:val="left"/>
              <w:rPr>
                <w:rFonts w:ascii="宋体" w:eastAsia="宋体" w:cs="宋体"/>
                <w:kern w:val="0"/>
                <w:sz w:val="24"/>
                <w:szCs w:val="24"/>
              </w:rPr>
            </w:pPr>
            <w:r>
              <w:rPr>
                <w:rFonts w:hint="eastAsia" w:ascii="楷体" w:eastAsia="楷体" w:cs="宋体"/>
                <w:kern w:val="0"/>
                <w:sz w:val="20"/>
                <w:szCs w:val="20"/>
              </w:rPr>
              <w:t>1.本机关不掌握相关政府信息</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0B61A89">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20DAB0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8CC9C62">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6B88F7E">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CA1FBA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041730F0">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7D965DE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r>
      <w:tr w14:paraId="250A9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vMerge w:val="continue"/>
            <w:tcBorders>
              <w:top w:val="single" w:color="auto" w:sz="4" w:space="0"/>
              <w:left w:val="single" w:color="auto" w:sz="4" w:space="0"/>
              <w:bottom w:val="single" w:color="auto" w:sz="4" w:space="0"/>
              <w:right w:val="single" w:color="auto" w:sz="4" w:space="0"/>
            </w:tcBorders>
            <w:vAlign w:val="center"/>
          </w:tcPr>
          <w:p w14:paraId="25A4713C"/>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7387F4E6"/>
        </w:tc>
        <w:tc>
          <w:tcPr>
            <w:tcW w:w="22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8E0F8E2">
            <w:pPr>
              <w:widowControl/>
              <w:jc w:val="left"/>
              <w:rPr>
                <w:rFonts w:ascii="宋体" w:eastAsia="宋体" w:cs="宋体"/>
                <w:kern w:val="0"/>
                <w:sz w:val="24"/>
                <w:szCs w:val="24"/>
              </w:rPr>
            </w:pPr>
            <w:r>
              <w:rPr>
                <w:rFonts w:hint="eastAsia" w:ascii="楷体" w:eastAsia="楷体" w:cs="宋体"/>
                <w:kern w:val="0"/>
                <w:sz w:val="20"/>
                <w:szCs w:val="20"/>
              </w:rPr>
              <w:t>2.没有现成信息需要另行制作</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3FDD9D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AA2CA5B">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FCA0097">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1168D24">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2D9ED32">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6906957E">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715B4C1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r>
      <w:tr w14:paraId="234D4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vMerge w:val="continue"/>
            <w:tcBorders>
              <w:top w:val="single" w:color="auto" w:sz="4" w:space="0"/>
              <w:left w:val="single" w:color="auto" w:sz="4" w:space="0"/>
              <w:bottom w:val="single" w:color="auto" w:sz="4" w:space="0"/>
              <w:right w:val="single" w:color="auto" w:sz="4" w:space="0"/>
            </w:tcBorders>
            <w:vAlign w:val="center"/>
          </w:tcPr>
          <w:p w14:paraId="7BEC5A52"/>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698413AB"/>
        </w:tc>
        <w:tc>
          <w:tcPr>
            <w:tcW w:w="22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BE7E3D6">
            <w:pPr>
              <w:widowControl/>
              <w:jc w:val="left"/>
              <w:rPr>
                <w:rFonts w:ascii="宋体" w:eastAsia="宋体" w:cs="宋体"/>
                <w:kern w:val="0"/>
                <w:sz w:val="24"/>
                <w:szCs w:val="24"/>
              </w:rPr>
            </w:pPr>
            <w:r>
              <w:rPr>
                <w:rFonts w:hint="eastAsia" w:ascii="楷体" w:eastAsia="楷体" w:cs="宋体"/>
                <w:kern w:val="0"/>
                <w:sz w:val="20"/>
                <w:szCs w:val="20"/>
              </w:rPr>
              <w:t>3.补正后申请内容仍不明确</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CCC3832">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A8A93E1">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D4A5067">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53EFF98">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114373E">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5EEA991A">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25CEBA63">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r>
      <w:tr w14:paraId="4E6A5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vMerge w:val="continue"/>
            <w:tcBorders>
              <w:top w:val="single" w:color="auto" w:sz="4" w:space="0"/>
              <w:left w:val="single" w:color="auto" w:sz="4" w:space="0"/>
              <w:bottom w:val="single" w:color="auto" w:sz="4" w:space="0"/>
              <w:right w:val="single" w:color="auto" w:sz="4" w:space="0"/>
            </w:tcBorders>
            <w:vAlign w:val="center"/>
          </w:tcPr>
          <w:p w14:paraId="5493CA71"/>
        </w:tc>
        <w:tc>
          <w:tcPr>
            <w:tcW w:w="816"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5591066">
            <w:pPr>
              <w:widowControl/>
              <w:jc w:val="left"/>
              <w:rPr>
                <w:rFonts w:ascii="宋体" w:eastAsia="宋体" w:cs="宋体"/>
                <w:kern w:val="0"/>
                <w:sz w:val="24"/>
                <w:szCs w:val="24"/>
              </w:rPr>
            </w:pPr>
            <w:r>
              <w:rPr>
                <w:rFonts w:hint="eastAsia" w:ascii="楷体" w:eastAsia="楷体" w:cs="宋体"/>
                <w:kern w:val="0"/>
                <w:sz w:val="20"/>
                <w:szCs w:val="20"/>
              </w:rPr>
              <w:t>（五）不予处理</w:t>
            </w:r>
          </w:p>
        </w:tc>
        <w:tc>
          <w:tcPr>
            <w:tcW w:w="22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68B4941">
            <w:pPr>
              <w:widowControl/>
              <w:jc w:val="left"/>
              <w:rPr>
                <w:rFonts w:ascii="宋体" w:eastAsia="宋体" w:cs="宋体"/>
                <w:kern w:val="0"/>
                <w:sz w:val="24"/>
                <w:szCs w:val="24"/>
              </w:rPr>
            </w:pPr>
            <w:r>
              <w:rPr>
                <w:rFonts w:hint="eastAsia" w:ascii="楷体" w:eastAsia="楷体" w:cs="宋体"/>
                <w:kern w:val="0"/>
                <w:sz w:val="20"/>
                <w:szCs w:val="20"/>
              </w:rPr>
              <w:t>1.信访举报投诉类申请</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C1A1F9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rPr>
            </w:pPr>
            <w:r>
              <w:rPr>
                <w:rFonts w:hint="eastAsia"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D83E0D5">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751754C">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50CDF2D">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3885D38">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6CCF43C3">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26A0942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r>
      <w:tr w14:paraId="699FD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vMerge w:val="continue"/>
            <w:tcBorders>
              <w:top w:val="single" w:color="auto" w:sz="4" w:space="0"/>
              <w:left w:val="single" w:color="auto" w:sz="4" w:space="0"/>
              <w:bottom w:val="single" w:color="auto" w:sz="4" w:space="0"/>
              <w:right w:val="single" w:color="auto" w:sz="4" w:space="0"/>
            </w:tcBorders>
            <w:vAlign w:val="center"/>
          </w:tcPr>
          <w:p w14:paraId="3D5F71A0"/>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5DB17CD4"/>
        </w:tc>
        <w:tc>
          <w:tcPr>
            <w:tcW w:w="22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2F1C715">
            <w:pPr>
              <w:widowControl/>
              <w:jc w:val="left"/>
              <w:rPr>
                <w:rFonts w:ascii="宋体" w:eastAsia="宋体" w:cs="宋体"/>
                <w:kern w:val="0"/>
                <w:sz w:val="24"/>
                <w:szCs w:val="24"/>
              </w:rPr>
            </w:pPr>
            <w:r>
              <w:rPr>
                <w:rFonts w:hint="eastAsia" w:ascii="楷体" w:eastAsia="楷体" w:cs="宋体"/>
                <w:kern w:val="0"/>
                <w:sz w:val="20"/>
                <w:szCs w:val="20"/>
              </w:rPr>
              <w:t>2.重复申请</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06D748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DEA0580">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1A85A86">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89FC216">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E08CFFA">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1EAB29FF">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5CDA33D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r>
      <w:tr w14:paraId="5FB1C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vMerge w:val="continue"/>
            <w:tcBorders>
              <w:top w:val="single" w:color="auto" w:sz="4" w:space="0"/>
              <w:left w:val="single" w:color="auto" w:sz="4" w:space="0"/>
              <w:bottom w:val="single" w:color="auto" w:sz="4" w:space="0"/>
              <w:right w:val="single" w:color="auto" w:sz="4" w:space="0"/>
            </w:tcBorders>
            <w:vAlign w:val="center"/>
          </w:tcPr>
          <w:p w14:paraId="03F89C7F"/>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4CF0A9F6"/>
        </w:tc>
        <w:tc>
          <w:tcPr>
            <w:tcW w:w="22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292DEE6">
            <w:pPr>
              <w:widowControl/>
              <w:jc w:val="left"/>
              <w:rPr>
                <w:rFonts w:ascii="宋体" w:eastAsia="宋体" w:cs="宋体"/>
                <w:kern w:val="0"/>
                <w:sz w:val="24"/>
                <w:szCs w:val="24"/>
              </w:rPr>
            </w:pPr>
            <w:r>
              <w:rPr>
                <w:rFonts w:hint="eastAsia" w:ascii="楷体" w:eastAsia="楷体" w:cs="宋体"/>
                <w:kern w:val="0"/>
                <w:sz w:val="20"/>
                <w:szCs w:val="20"/>
              </w:rPr>
              <w:t>3.要求提供公开出版物</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96FD2BB">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0D8DC81">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AFA7806">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68BFD1B">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A71C15E">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64D8ACAE">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7C66384D">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r>
      <w:tr w14:paraId="2EB84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vMerge w:val="continue"/>
            <w:tcBorders>
              <w:top w:val="single" w:color="auto" w:sz="4" w:space="0"/>
              <w:left w:val="single" w:color="auto" w:sz="4" w:space="0"/>
              <w:bottom w:val="single" w:color="auto" w:sz="4" w:space="0"/>
              <w:right w:val="single" w:color="auto" w:sz="4" w:space="0"/>
            </w:tcBorders>
            <w:vAlign w:val="center"/>
          </w:tcPr>
          <w:p w14:paraId="7E536D73"/>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7421D835"/>
        </w:tc>
        <w:tc>
          <w:tcPr>
            <w:tcW w:w="22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42BFA00">
            <w:pPr>
              <w:widowControl/>
              <w:jc w:val="left"/>
              <w:rPr>
                <w:rFonts w:ascii="宋体" w:eastAsia="宋体" w:cs="宋体"/>
                <w:kern w:val="0"/>
                <w:sz w:val="24"/>
                <w:szCs w:val="24"/>
              </w:rPr>
            </w:pPr>
            <w:r>
              <w:rPr>
                <w:rFonts w:hint="eastAsia" w:ascii="楷体" w:eastAsia="楷体" w:cs="宋体"/>
                <w:kern w:val="0"/>
                <w:sz w:val="20"/>
                <w:szCs w:val="20"/>
              </w:rPr>
              <w:t>4.无正当理由大量反复申请</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DA01B06">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894D08A">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FDE6D3D">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4E75928">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8270B1F">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42BD70C1">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61B34BFB">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r>
      <w:tr w14:paraId="208FB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vMerge w:val="continue"/>
            <w:tcBorders>
              <w:top w:val="single" w:color="auto" w:sz="4" w:space="0"/>
              <w:left w:val="single" w:color="auto" w:sz="4" w:space="0"/>
              <w:bottom w:val="single" w:color="auto" w:sz="4" w:space="0"/>
              <w:right w:val="single" w:color="auto" w:sz="4" w:space="0"/>
            </w:tcBorders>
            <w:vAlign w:val="center"/>
          </w:tcPr>
          <w:p w14:paraId="752E744C"/>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221FE743"/>
        </w:tc>
        <w:tc>
          <w:tcPr>
            <w:tcW w:w="22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17C7C92">
            <w:pPr>
              <w:widowControl/>
              <w:jc w:val="left"/>
              <w:rPr>
                <w:rFonts w:ascii="宋体" w:eastAsia="宋体" w:cs="宋体"/>
                <w:kern w:val="0"/>
                <w:sz w:val="24"/>
                <w:szCs w:val="24"/>
              </w:rPr>
            </w:pPr>
            <w:r>
              <w:rPr>
                <w:rFonts w:hint="eastAsia" w:ascii="楷体" w:eastAsia="楷体" w:cs="宋体"/>
                <w:kern w:val="0"/>
                <w:sz w:val="20"/>
                <w:szCs w:val="20"/>
              </w:rPr>
              <w:t>5.要求行政机关确认或重新出具已获取信息</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977DCA4">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1A4E4CD">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4D3E34B">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47003A7">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A39E458">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28C97515">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760266C2">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r>
      <w:tr w14:paraId="28BE1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vMerge w:val="continue"/>
            <w:tcBorders>
              <w:top w:val="single" w:color="auto" w:sz="4" w:space="0"/>
              <w:left w:val="single" w:color="auto" w:sz="4" w:space="0"/>
              <w:bottom w:val="single" w:color="auto" w:sz="4" w:space="0"/>
              <w:right w:val="single" w:color="auto" w:sz="4" w:space="0"/>
            </w:tcBorders>
            <w:vAlign w:val="center"/>
          </w:tcPr>
          <w:p w14:paraId="4E2AB133"/>
        </w:tc>
        <w:tc>
          <w:tcPr>
            <w:tcW w:w="816" w:type="dxa"/>
            <w:vMerge w:val="restart"/>
            <w:tcBorders>
              <w:top w:val="single" w:color="auto" w:sz="4" w:space="0"/>
              <w:left w:val="single" w:color="auto" w:sz="4" w:space="0"/>
              <w:bottom w:val="single" w:color="auto" w:sz="4" w:space="0"/>
              <w:right w:val="single" w:color="auto" w:sz="4" w:space="0"/>
            </w:tcBorders>
            <w:vAlign w:val="center"/>
          </w:tcPr>
          <w:p w14:paraId="5B7306F5">
            <w:pPr>
              <w:widowControl/>
              <w:jc w:val="left"/>
            </w:pPr>
            <w:r>
              <w:rPr>
                <w:rFonts w:hint="eastAsia" w:ascii="楷体" w:eastAsia="楷体" w:cs="宋体"/>
                <w:kern w:val="0"/>
                <w:sz w:val="20"/>
                <w:szCs w:val="20"/>
              </w:rPr>
              <w:t>（六）其他处理</w:t>
            </w:r>
          </w:p>
        </w:tc>
        <w:tc>
          <w:tcPr>
            <w:tcW w:w="22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27B2248">
            <w:pPr>
              <w:widowControl/>
              <w:jc w:val="left"/>
              <w:rPr>
                <w:rFonts w:hint="default" w:ascii="楷体" w:eastAsia="楷体" w:cs="宋体"/>
                <w:kern w:val="0"/>
                <w:sz w:val="20"/>
                <w:szCs w:val="20"/>
                <w:lang w:val="en-US" w:eastAsia="zh-CN"/>
              </w:rPr>
            </w:pPr>
            <w:r>
              <w:rPr>
                <w:rFonts w:hint="eastAsia" w:ascii="楷体" w:eastAsia="楷体" w:cs="宋体"/>
                <w:kern w:val="0"/>
                <w:sz w:val="20"/>
                <w:szCs w:val="20"/>
                <w:lang w:val="en-US" w:eastAsia="zh-CN"/>
              </w:rPr>
              <w:t>1.申请人无正当理由逾期不补正、行政机关不再处理其政府信息公开申请</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1FAEE9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6E85488">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B5C2900">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AD4DFC8">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8F9547F">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1E731925">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0D48D32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r>
      <w:tr w14:paraId="356BF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vMerge w:val="continue"/>
            <w:tcBorders>
              <w:top w:val="single" w:color="auto" w:sz="4" w:space="0"/>
              <w:left w:val="single" w:color="auto" w:sz="4" w:space="0"/>
              <w:bottom w:val="single" w:color="auto" w:sz="4" w:space="0"/>
              <w:right w:val="single" w:color="auto" w:sz="4" w:space="0"/>
            </w:tcBorders>
            <w:vAlign w:val="center"/>
          </w:tcPr>
          <w:p w14:paraId="1C1FCA04"/>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63CF9B5C">
            <w:pPr>
              <w:widowControl/>
              <w:jc w:val="left"/>
              <w:rPr>
                <w:rFonts w:hint="eastAsia" w:ascii="楷体" w:eastAsia="楷体" w:cs="宋体"/>
                <w:kern w:val="0"/>
                <w:sz w:val="20"/>
                <w:szCs w:val="20"/>
              </w:rPr>
            </w:pPr>
          </w:p>
        </w:tc>
        <w:tc>
          <w:tcPr>
            <w:tcW w:w="22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E89D8C3">
            <w:pPr>
              <w:widowControl/>
              <w:jc w:val="left"/>
              <w:rPr>
                <w:rFonts w:hint="default" w:ascii="楷体" w:eastAsia="楷体" w:cs="宋体"/>
                <w:kern w:val="0"/>
                <w:sz w:val="20"/>
                <w:szCs w:val="20"/>
                <w:lang w:val="en-US" w:eastAsia="zh-CN"/>
              </w:rPr>
            </w:pPr>
            <w:r>
              <w:rPr>
                <w:rFonts w:hint="eastAsia" w:ascii="楷体" w:eastAsia="楷体" w:cs="宋体"/>
                <w:kern w:val="0"/>
                <w:sz w:val="20"/>
                <w:szCs w:val="20"/>
                <w:lang w:val="en-US" w:eastAsia="zh-CN"/>
              </w:rPr>
              <w:t>2.申请人逾期未按收费通知要求缴纳费用、行政机关不再处理其政府信息公开申请</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AB38406">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786724D">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4158670">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3F54BEA">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22C3845">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5C62FD61">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65F0BDDA">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r>
      <w:tr w14:paraId="775EF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vMerge w:val="continue"/>
            <w:tcBorders>
              <w:top w:val="single" w:color="auto" w:sz="4" w:space="0"/>
              <w:left w:val="single" w:color="auto" w:sz="4" w:space="0"/>
              <w:bottom w:val="single" w:color="auto" w:sz="4" w:space="0"/>
              <w:right w:val="single" w:color="auto" w:sz="4" w:space="0"/>
            </w:tcBorders>
            <w:vAlign w:val="center"/>
          </w:tcPr>
          <w:p w14:paraId="07B293FF"/>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7914E682">
            <w:pPr>
              <w:widowControl/>
              <w:jc w:val="left"/>
              <w:rPr>
                <w:rFonts w:hint="eastAsia" w:ascii="楷体" w:eastAsia="楷体" w:cs="宋体"/>
                <w:kern w:val="0"/>
                <w:sz w:val="20"/>
                <w:szCs w:val="20"/>
              </w:rPr>
            </w:pPr>
          </w:p>
        </w:tc>
        <w:tc>
          <w:tcPr>
            <w:tcW w:w="22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886216D">
            <w:pPr>
              <w:widowControl/>
              <w:jc w:val="left"/>
              <w:rPr>
                <w:rFonts w:hint="default" w:ascii="楷体" w:eastAsia="楷体" w:cs="宋体"/>
                <w:kern w:val="0"/>
                <w:sz w:val="20"/>
                <w:szCs w:val="20"/>
                <w:lang w:val="en-US" w:eastAsia="zh-CN"/>
              </w:rPr>
            </w:pPr>
            <w:r>
              <w:rPr>
                <w:rFonts w:hint="eastAsia" w:ascii="楷体" w:eastAsia="楷体" w:cs="宋体"/>
                <w:kern w:val="0"/>
                <w:sz w:val="20"/>
                <w:szCs w:val="20"/>
                <w:lang w:val="en-US" w:eastAsia="zh-CN"/>
              </w:rPr>
              <w:t>3.其他</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6F888B0">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9BF43B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6D22871">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54B84AA">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117AB5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4" w:space="0"/>
              <w:right w:val="single" w:color="auto" w:sz="8" w:space="0"/>
            </w:tcBorders>
            <w:tcMar>
              <w:left w:w="108" w:type="dxa"/>
              <w:right w:w="108" w:type="dxa"/>
            </w:tcMar>
            <w:vAlign w:val="center"/>
          </w:tcPr>
          <w:p w14:paraId="08264A05">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nil"/>
              <w:left w:val="nil"/>
              <w:bottom w:val="single" w:color="auto" w:sz="4" w:space="0"/>
              <w:right w:val="single" w:color="auto" w:sz="8" w:space="0"/>
            </w:tcBorders>
            <w:tcMar>
              <w:left w:w="108" w:type="dxa"/>
              <w:right w:w="108" w:type="dxa"/>
            </w:tcMar>
            <w:vAlign w:val="center"/>
          </w:tcPr>
          <w:p w14:paraId="758AF90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r>
      <w:tr w14:paraId="61F19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7"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14:paraId="245CCDCD"/>
        </w:tc>
        <w:tc>
          <w:tcPr>
            <w:tcW w:w="3087"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156612F">
            <w:pPr>
              <w:widowControl/>
              <w:jc w:val="center"/>
              <w:rPr>
                <w:rFonts w:ascii="宋体" w:eastAsia="宋体" w:cs="宋体"/>
                <w:kern w:val="0"/>
                <w:sz w:val="24"/>
                <w:szCs w:val="24"/>
              </w:rPr>
            </w:pPr>
            <w:r>
              <w:rPr>
                <w:rFonts w:hint="eastAsia" w:ascii="楷体" w:eastAsia="楷体" w:cs="宋体"/>
                <w:kern w:val="0"/>
                <w:sz w:val="20"/>
                <w:szCs w:val="20"/>
              </w:rPr>
              <w:t>（七）总计</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0CB91B8">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50DFE5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36DD30C">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5193F29">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D275F8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5543847">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65A6ACC">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Times New Roman"/>
                <w:kern w:val="0"/>
                <w:sz w:val="18"/>
                <w:szCs w:val="18"/>
              </w:rPr>
            </w:pPr>
            <w:r>
              <w:rPr>
                <w:rFonts w:hint="eastAsia" w:ascii="Times New Roman" w:hAnsi="Times New Roman" w:cs="Times New Roman"/>
                <w:kern w:val="0"/>
                <w:sz w:val="18"/>
                <w:szCs w:val="18"/>
                <w:lang w:val="en-US" w:eastAsia="zh-CN"/>
              </w:rPr>
              <w:t xml:space="preserve"> </w:t>
            </w:r>
          </w:p>
        </w:tc>
      </w:tr>
      <w:tr w14:paraId="12C71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03"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top"/>
          </w:tcPr>
          <w:p w14:paraId="7E2CF007">
            <w:pPr>
              <w:widowControl/>
              <w:jc w:val="left"/>
              <w:rPr>
                <w:rFonts w:ascii="宋体" w:eastAsia="宋体" w:cs="宋体"/>
                <w:kern w:val="0"/>
                <w:sz w:val="24"/>
                <w:szCs w:val="24"/>
              </w:rPr>
            </w:pPr>
            <w:r>
              <w:rPr>
                <w:rFonts w:hint="eastAsia" w:ascii="宋体" w:eastAsia="宋体" w:cs="宋体"/>
                <w:kern w:val="0"/>
                <w:sz w:val="20"/>
                <w:szCs w:val="20"/>
              </w:rPr>
              <w:t>四、结转下年度继续办理</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007DEC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8F3EF6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F92D9C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C17D9A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9FE215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7E2E60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95CD579">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 xml:space="preserve"> </w:t>
            </w:r>
          </w:p>
        </w:tc>
      </w:tr>
    </w:tbl>
    <w:p w14:paraId="33D82BD5">
      <w:pPr>
        <w:ind w:firstLine="640" w:firstLineChars="200"/>
        <w:rPr>
          <w:rFonts w:hint="eastAsia" w:ascii="方正黑体_GBK" w:eastAsia="方正黑体_GBK" w:cs="方正黑体_GBK"/>
          <w:sz w:val="32"/>
          <w:szCs w:val="32"/>
        </w:rPr>
      </w:pPr>
    </w:p>
    <w:p w14:paraId="394C4DDB">
      <w:pPr>
        <w:ind w:firstLine="640" w:firstLineChars="200"/>
        <w:rPr>
          <w:rFonts w:hint="eastAsia" w:ascii="方正黑体_GBK" w:eastAsia="方正黑体_GBK" w:cs="方正黑体_GBK"/>
          <w:sz w:val="32"/>
          <w:szCs w:val="32"/>
        </w:rPr>
      </w:pPr>
    </w:p>
    <w:p w14:paraId="613A6A56">
      <w:pPr>
        <w:ind w:firstLine="640" w:firstLineChars="200"/>
        <w:rPr>
          <w:rFonts w:hint="eastAsia" w:ascii="方正黑体_GBK" w:eastAsia="方正黑体_GBK" w:cs="方正黑体_GBK"/>
          <w:sz w:val="32"/>
          <w:szCs w:val="32"/>
        </w:rPr>
      </w:pPr>
    </w:p>
    <w:p w14:paraId="77BF0916">
      <w:pPr>
        <w:ind w:firstLine="640" w:firstLineChars="200"/>
        <w:rPr>
          <w:rFonts w:ascii="方正黑体_GBK" w:eastAsia="方正黑体_GBK" w:cs="方正黑体_GBK"/>
          <w:sz w:val="32"/>
          <w:szCs w:val="32"/>
        </w:rPr>
      </w:pPr>
      <w:r>
        <w:rPr>
          <w:rFonts w:hint="eastAsia" w:ascii="方正黑体_GBK" w:eastAsia="方正黑体_GBK" w:cs="方正黑体_GBK"/>
          <w:sz w:val="32"/>
          <w:szCs w:val="32"/>
        </w:rPr>
        <w:t>四、政府信息公开行政复议、行政诉讼情况</w:t>
      </w:r>
    </w:p>
    <w:tbl>
      <w:tblPr>
        <w:tblStyle w:val="6"/>
        <w:tblW w:w="98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55"/>
        <w:gridCol w:w="655"/>
        <w:gridCol w:w="655"/>
        <w:gridCol w:w="655"/>
        <w:gridCol w:w="634"/>
        <w:gridCol w:w="676"/>
        <w:gridCol w:w="656"/>
        <w:gridCol w:w="656"/>
        <w:gridCol w:w="656"/>
        <w:gridCol w:w="657"/>
        <w:gridCol w:w="656"/>
        <w:gridCol w:w="656"/>
        <w:gridCol w:w="656"/>
        <w:gridCol w:w="657"/>
        <w:gridCol w:w="659"/>
      </w:tblGrid>
      <w:tr w14:paraId="26526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 w:hRule="atLeast"/>
          <w:jc w:val="center"/>
        </w:trPr>
        <w:tc>
          <w:tcPr>
            <w:tcW w:w="3254"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6E2D636">
            <w:pPr>
              <w:widowControl/>
              <w:jc w:val="center"/>
              <w:rPr>
                <w:rFonts w:ascii="宋体" w:eastAsia="宋体" w:cs="宋体"/>
                <w:kern w:val="0"/>
                <w:sz w:val="24"/>
                <w:szCs w:val="24"/>
              </w:rPr>
            </w:pPr>
            <w:r>
              <w:rPr>
                <w:rFonts w:hint="eastAsia" w:ascii="宋体" w:eastAsia="宋体" w:cs="宋体"/>
                <w:kern w:val="0"/>
                <w:sz w:val="20"/>
                <w:szCs w:val="20"/>
              </w:rPr>
              <w:t>行政复议</w:t>
            </w:r>
          </w:p>
        </w:tc>
        <w:tc>
          <w:tcPr>
            <w:tcW w:w="6585" w:type="dxa"/>
            <w:gridSpan w:val="10"/>
            <w:tcBorders>
              <w:top w:val="single" w:color="auto" w:sz="8" w:space="0"/>
              <w:left w:val="nil"/>
              <w:bottom w:val="single" w:color="auto" w:sz="8" w:space="0"/>
              <w:right w:val="single" w:color="auto" w:sz="8" w:space="0"/>
            </w:tcBorders>
            <w:tcMar>
              <w:left w:w="108" w:type="dxa"/>
              <w:right w:w="108" w:type="dxa"/>
            </w:tcMar>
            <w:vAlign w:val="center"/>
          </w:tcPr>
          <w:p w14:paraId="24193F50">
            <w:pPr>
              <w:widowControl/>
              <w:jc w:val="center"/>
              <w:rPr>
                <w:rFonts w:ascii="宋体" w:eastAsia="宋体" w:cs="宋体"/>
                <w:kern w:val="0"/>
                <w:sz w:val="24"/>
                <w:szCs w:val="24"/>
              </w:rPr>
            </w:pPr>
            <w:r>
              <w:rPr>
                <w:rFonts w:hint="eastAsia" w:ascii="宋体" w:eastAsia="宋体" w:cs="宋体"/>
                <w:kern w:val="0"/>
                <w:sz w:val="20"/>
                <w:szCs w:val="20"/>
              </w:rPr>
              <w:t>行政诉讼</w:t>
            </w:r>
          </w:p>
        </w:tc>
      </w:tr>
      <w:tr w14:paraId="3A5C8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 w:hRule="atLeast"/>
          <w:jc w:val="center"/>
        </w:trPr>
        <w:tc>
          <w:tcPr>
            <w:tcW w:w="655"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2F2BEA77">
            <w:pPr>
              <w:widowControl/>
              <w:jc w:val="center"/>
              <w:rPr>
                <w:rFonts w:ascii="宋体" w:eastAsia="宋体" w:cs="宋体"/>
                <w:kern w:val="0"/>
                <w:sz w:val="24"/>
                <w:szCs w:val="24"/>
              </w:rPr>
            </w:pPr>
            <w:r>
              <w:rPr>
                <w:rFonts w:hint="eastAsia" w:ascii="宋体" w:eastAsia="宋体" w:cs="宋体"/>
                <w:kern w:val="0"/>
                <w:sz w:val="20"/>
                <w:szCs w:val="20"/>
              </w:rPr>
              <w:t>结果维持</w:t>
            </w:r>
          </w:p>
        </w:tc>
        <w:tc>
          <w:tcPr>
            <w:tcW w:w="655" w:type="dxa"/>
            <w:vMerge w:val="restart"/>
            <w:tcBorders>
              <w:top w:val="nil"/>
              <w:left w:val="nil"/>
              <w:bottom w:val="single" w:color="auto" w:sz="8" w:space="0"/>
              <w:right w:val="single" w:color="auto" w:sz="8" w:space="0"/>
            </w:tcBorders>
            <w:tcMar>
              <w:left w:w="108" w:type="dxa"/>
              <w:right w:w="108" w:type="dxa"/>
            </w:tcMar>
            <w:vAlign w:val="center"/>
          </w:tcPr>
          <w:p w14:paraId="0A96F5A5">
            <w:pPr>
              <w:widowControl/>
              <w:jc w:val="center"/>
              <w:rPr>
                <w:rFonts w:ascii="宋体" w:eastAsia="宋体" w:cs="宋体"/>
                <w:kern w:val="0"/>
                <w:sz w:val="24"/>
                <w:szCs w:val="24"/>
              </w:rPr>
            </w:pPr>
            <w:r>
              <w:rPr>
                <w:rFonts w:hint="eastAsia" w:ascii="宋体" w:eastAsia="宋体" w:cs="宋体"/>
                <w:kern w:val="0"/>
                <w:sz w:val="20"/>
                <w:szCs w:val="20"/>
              </w:rPr>
              <w:t>结果纠正</w:t>
            </w:r>
          </w:p>
        </w:tc>
        <w:tc>
          <w:tcPr>
            <w:tcW w:w="655" w:type="dxa"/>
            <w:vMerge w:val="restart"/>
            <w:tcBorders>
              <w:top w:val="single" w:color="auto" w:sz="8" w:space="0"/>
              <w:left w:val="nil"/>
              <w:bottom w:val="single" w:color="auto" w:sz="8" w:space="0"/>
              <w:right w:val="single" w:color="auto" w:sz="8" w:space="0"/>
            </w:tcBorders>
            <w:tcMar>
              <w:left w:w="108" w:type="dxa"/>
              <w:right w:w="108" w:type="dxa"/>
            </w:tcMar>
            <w:vAlign w:val="center"/>
          </w:tcPr>
          <w:p w14:paraId="6C86F937">
            <w:pPr>
              <w:widowControl/>
              <w:jc w:val="center"/>
              <w:rPr>
                <w:rFonts w:ascii="宋体" w:eastAsia="宋体" w:cs="宋体"/>
                <w:kern w:val="0"/>
                <w:sz w:val="24"/>
                <w:szCs w:val="24"/>
              </w:rPr>
            </w:pPr>
            <w:r>
              <w:rPr>
                <w:rFonts w:hint="eastAsia" w:ascii="宋体" w:eastAsia="宋体" w:cs="宋体"/>
                <w:kern w:val="0"/>
                <w:sz w:val="20"/>
                <w:szCs w:val="20"/>
              </w:rPr>
              <w:t>其他结果</w:t>
            </w:r>
          </w:p>
        </w:tc>
        <w:tc>
          <w:tcPr>
            <w:tcW w:w="655" w:type="dxa"/>
            <w:vMerge w:val="restart"/>
            <w:tcBorders>
              <w:top w:val="single" w:color="auto" w:sz="8" w:space="0"/>
              <w:left w:val="nil"/>
              <w:bottom w:val="single" w:color="auto" w:sz="8" w:space="0"/>
              <w:right w:val="single" w:color="auto" w:sz="8" w:space="0"/>
            </w:tcBorders>
            <w:tcMar>
              <w:left w:w="108" w:type="dxa"/>
              <w:right w:w="108" w:type="dxa"/>
            </w:tcMar>
            <w:vAlign w:val="center"/>
          </w:tcPr>
          <w:p w14:paraId="01FB0285">
            <w:pPr>
              <w:widowControl/>
              <w:jc w:val="center"/>
              <w:rPr>
                <w:rFonts w:ascii="宋体" w:eastAsia="宋体" w:cs="宋体"/>
                <w:kern w:val="0"/>
                <w:sz w:val="24"/>
                <w:szCs w:val="24"/>
              </w:rPr>
            </w:pPr>
            <w:r>
              <w:rPr>
                <w:rFonts w:hint="eastAsia" w:ascii="宋体" w:eastAsia="宋体" w:cs="宋体"/>
                <w:kern w:val="0"/>
                <w:sz w:val="20"/>
                <w:szCs w:val="20"/>
              </w:rPr>
              <w:t>尚未审结</w:t>
            </w:r>
          </w:p>
        </w:tc>
        <w:tc>
          <w:tcPr>
            <w:tcW w:w="634" w:type="dxa"/>
            <w:vMerge w:val="restart"/>
            <w:tcBorders>
              <w:top w:val="single" w:color="auto" w:sz="8" w:space="0"/>
              <w:left w:val="nil"/>
              <w:bottom w:val="single" w:color="auto" w:sz="8" w:space="0"/>
              <w:right w:val="single" w:color="auto" w:sz="8" w:space="0"/>
            </w:tcBorders>
            <w:tcMar>
              <w:left w:w="108" w:type="dxa"/>
              <w:right w:w="108" w:type="dxa"/>
            </w:tcMar>
            <w:vAlign w:val="center"/>
          </w:tcPr>
          <w:p w14:paraId="336149D3">
            <w:pPr>
              <w:widowControl/>
              <w:jc w:val="center"/>
              <w:rPr>
                <w:rFonts w:ascii="宋体" w:eastAsia="宋体" w:cs="宋体"/>
                <w:kern w:val="0"/>
                <w:sz w:val="24"/>
                <w:szCs w:val="24"/>
              </w:rPr>
            </w:pPr>
            <w:r>
              <w:rPr>
                <w:rFonts w:hint="eastAsia" w:ascii="宋体" w:eastAsia="宋体" w:cs="宋体"/>
                <w:kern w:val="0"/>
                <w:sz w:val="20"/>
                <w:szCs w:val="20"/>
              </w:rPr>
              <w:t>总计</w:t>
            </w:r>
          </w:p>
        </w:tc>
        <w:tc>
          <w:tcPr>
            <w:tcW w:w="3301" w:type="dxa"/>
            <w:gridSpan w:val="5"/>
            <w:tcBorders>
              <w:top w:val="single" w:color="auto" w:sz="8" w:space="0"/>
              <w:left w:val="nil"/>
              <w:bottom w:val="single" w:color="auto" w:sz="8" w:space="0"/>
              <w:right w:val="single" w:color="auto" w:sz="8" w:space="0"/>
            </w:tcBorders>
            <w:tcMar>
              <w:left w:w="108" w:type="dxa"/>
              <w:right w:w="108" w:type="dxa"/>
            </w:tcMar>
            <w:vAlign w:val="center"/>
          </w:tcPr>
          <w:p w14:paraId="11F1750B">
            <w:pPr>
              <w:widowControl/>
              <w:jc w:val="center"/>
              <w:rPr>
                <w:rFonts w:ascii="宋体" w:eastAsia="宋体" w:cs="宋体"/>
                <w:kern w:val="0"/>
                <w:sz w:val="24"/>
                <w:szCs w:val="24"/>
              </w:rPr>
            </w:pPr>
            <w:r>
              <w:rPr>
                <w:rFonts w:hint="eastAsia" w:ascii="宋体" w:eastAsia="宋体" w:cs="宋体"/>
                <w:kern w:val="0"/>
                <w:sz w:val="20"/>
                <w:szCs w:val="20"/>
              </w:rPr>
              <w:t>未经复议直接起诉</w:t>
            </w:r>
          </w:p>
        </w:tc>
        <w:tc>
          <w:tcPr>
            <w:tcW w:w="3284" w:type="dxa"/>
            <w:gridSpan w:val="5"/>
            <w:tcBorders>
              <w:top w:val="single" w:color="auto" w:sz="8" w:space="0"/>
              <w:left w:val="nil"/>
              <w:bottom w:val="single" w:color="auto" w:sz="8" w:space="0"/>
              <w:right w:val="single" w:color="auto" w:sz="8" w:space="0"/>
            </w:tcBorders>
            <w:tcMar>
              <w:left w:w="108" w:type="dxa"/>
              <w:right w:w="108" w:type="dxa"/>
            </w:tcMar>
            <w:vAlign w:val="center"/>
          </w:tcPr>
          <w:p w14:paraId="730320D4">
            <w:pPr>
              <w:widowControl/>
              <w:jc w:val="center"/>
              <w:rPr>
                <w:rFonts w:ascii="宋体" w:eastAsia="宋体" w:cs="宋体"/>
                <w:kern w:val="0"/>
                <w:sz w:val="24"/>
                <w:szCs w:val="24"/>
              </w:rPr>
            </w:pPr>
            <w:r>
              <w:rPr>
                <w:rFonts w:hint="eastAsia" w:ascii="宋体" w:eastAsia="宋体" w:cs="宋体"/>
                <w:kern w:val="0"/>
                <w:sz w:val="20"/>
                <w:szCs w:val="20"/>
              </w:rPr>
              <w:t>复议后起诉</w:t>
            </w:r>
          </w:p>
        </w:tc>
      </w:tr>
      <w:tr w14:paraId="632A6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5" w:hRule="atLeast"/>
          <w:jc w:val="center"/>
        </w:trPr>
        <w:tc>
          <w:tcPr>
            <w:vMerge w:val="continue"/>
            <w:tcBorders>
              <w:top w:val="nil"/>
              <w:left w:val="single" w:color="auto" w:sz="8" w:space="0"/>
              <w:bottom w:val="single" w:color="auto" w:sz="8" w:space="0"/>
              <w:right w:val="single" w:color="auto" w:sz="8" w:space="0"/>
            </w:tcBorders>
            <w:vAlign w:val="center"/>
          </w:tcPr>
          <w:p w14:paraId="778CF6C8"/>
        </w:tc>
        <w:tc>
          <w:tcPr>
            <w:vMerge w:val="continue"/>
            <w:tcBorders>
              <w:top w:val="nil"/>
              <w:left w:val="nil"/>
              <w:bottom w:val="single" w:color="auto" w:sz="8" w:space="0"/>
              <w:right w:val="single" w:color="auto" w:sz="8" w:space="0"/>
            </w:tcBorders>
            <w:vAlign w:val="center"/>
          </w:tcPr>
          <w:p w14:paraId="51AD61AE"/>
        </w:tc>
        <w:tc>
          <w:tcPr>
            <w:vMerge w:val="continue"/>
            <w:tcBorders>
              <w:top w:val="single" w:color="auto" w:sz="8" w:space="0"/>
              <w:left w:val="nil"/>
              <w:bottom w:val="single" w:color="auto" w:sz="8" w:space="0"/>
              <w:right w:val="single" w:color="auto" w:sz="8" w:space="0"/>
            </w:tcBorders>
            <w:vAlign w:val="center"/>
          </w:tcPr>
          <w:p w14:paraId="6AB5EA4B"/>
        </w:tc>
        <w:tc>
          <w:tcPr>
            <w:tcW w:w="655" w:type="dxa"/>
            <w:vMerge w:val="continue"/>
            <w:tcBorders>
              <w:top w:val="single" w:color="auto" w:sz="8" w:space="0"/>
              <w:left w:val="nil"/>
              <w:bottom w:val="single" w:color="auto" w:sz="8" w:space="0"/>
              <w:right w:val="single" w:color="auto" w:sz="8" w:space="0"/>
            </w:tcBorders>
            <w:vAlign w:val="center"/>
          </w:tcPr>
          <w:p w14:paraId="2C7F8E4E"/>
        </w:tc>
        <w:tc>
          <w:tcPr>
            <w:tcW w:w="634" w:type="dxa"/>
            <w:vMerge w:val="continue"/>
            <w:tcBorders>
              <w:top w:val="single" w:color="auto" w:sz="8" w:space="0"/>
              <w:left w:val="nil"/>
              <w:bottom w:val="single" w:color="auto" w:sz="8" w:space="0"/>
              <w:right w:val="single" w:color="auto" w:sz="8" w:space="0"/>
            </w:tcBorders>
            <w:vAlign w:val="center"/>
          </w:tcPr>
          <w:p w14:paraId="09A72466"/>
        </w:tc>
        <w:tc>
          <w:tcPr>
            <w:tcW w:w="676" w:type="dxa"/>
            <w:tcBorders>
              <w:top w:val="nil"/>
              <w:left w:val="nil"/>
              <w:bottom w:val="single" w:color="auto" w:sz="8" w:space="0"/>
              <w:right w:val="single" w:color="auto" w:sz="8" w:space="0"/>
            </w:tcBorders>
            <w:tcMar>
              <w:left w:w="108" w:type="dxa"/>
              <w:right w:w="108" w:type="dxa"/>
            </w:tcMar>
            <w:vAlign w:val="center"/>
          </w:tcPr>
          <w:p w14:paraId="0E26E028">
            <w:pPr>
              <w:widowControl/>
              <w:jc w:val="center"/>
              <w:rPr>
                <w:rFonts w:ascii="宋体" w:eastAsia="宋体" w:cs="宋体"/>
                <w:kern w:val="0"/>
                <w:sz w:val="24"/>
                <w:szCs w:val="24"/>
              </w:rPr>
            </w:pPr>
            <w:r>
              <w:rPr>
                <w:rFonts w:hint="eastAsia" w:ascii="宋体" w:eastAsia="宋体" w:cs="宋体"/>
                <w:kern w:val="0"/>
                <w:sz w:val="20"/>
                <w:szCs w:val="20"/>
              </w:rPr>
              <w:t>结果维持</w:t>
            </w:r>
          </w:p>
        </w:tc>
        <w:tc>
          <w:tcPr>
            <w:tcW w:w="656" w:type="dxa"/>
            <w:tcBorders>
              <w:top w:val="nil"/>
              <w:left w:val="nil"/>
              <w:bottom w:val="single" w:color="auto" w:sz="8" w:space="0"/>
              <w:right w:val="single" w:color="auto" w:sz="8" w:space="0"/>
            </w:tcBorders>
            <w:tcMar>
              <w:left w:w="108" w:type="dxa"/>
              <w:right w:w="108" w:type="dxa"/>
            </w:tcMar>
            <w:vAlign w:val="center"/>
          </w:tcPr>
          <w:p w14:paraId="53CE4548">
            <w:pPr>
              <w:widowControl/>
              <w:jc w:val="center"/>
              <w:rPr>
                <w:rFonts w:ascii="宋体" w:eastAsia="宋体" w:cs="宋体"/>
                <w:kern w:val="0"/>
                <w:sz w:val="24"/>
                <w:szCs w:val="24"/>
              </w:rPr>
            </w:pPr>
            <w:r>
              <w:rPr>
                <w:rFonts w:hint="eastAsia" w:ascii="宋体" w:eastAsia="宋体" w:cs="宋体"/>
                <w:kern w:val="0"/>
                <w:sz w:val="20"/>
                <w:szCs w:val="20"/>
              </w:rPr>
              <w:t>结果纠正</w:t>
            </w:r>
          </w:p>
        </w:tc>
        <w:tc>
          <w:tcPr>
            <w:tcW w:w="656" w:type="dxa"/>
            <w:tcBorders>
              <w:top w:val="single" w:color="auto" w:sz="8" w:space="0"/>
              <w:left w:val="nil"/>
              <w:bottom w:val="single" w:color="auto" w:sz="8" w:space="0"/>
              <w:right w:val="single" w:color="auto" w:sz="8" w:space="0"/>
            </w:tcBorders>
            <w:tcMar>
              <w:left w:w="108" w:type="dxa"/>
              <w:right w:w="108" w:type="dxa"/>
            </w:tcMar>
            <w:vAlign w:val="center"/>
          </w:tcPr>
          <w:p w14:paraId="59E0C6FF">
            <w:pPr>
              <w:widowControl/>
              <w:jc w:val="center"/>
              <w:rPr>
                <w:rFonts w:ascii="宋体" w:eastAsia="宋体" w:cs="宋体"/>
                <w:kern w:val="0"/>
                <w:sz w:val="24"/>
                <w:szCs w:val="24"/>
              </w:rPr>
            </w:pPr>
            <w:r>
              <w:rPr>
                <w:rFonts w:hint="eastAsia" w:ascii="宋体" w:eastAsia="宋体" w:cs="宋体"/>
                <w:kern w:val="0"/>
                <w:sz w:val="20"/>
                <w:szCs w:val="20"/>
              </w:rPr>
              <w:t>其他结果</w:t>
            </w:r>
          </w:p>
        </w:tc>
        <w:tc>
          <w:tcPr>
            <w:tcW w:w="656" w:type="dxa"/>
            <w:tcBorders>
              <w:top w:val="single" w:color="auto" w:sz="8" w:space="0"/>
              <w:left w:val="nil"/>
              <w:bottom w:val="single" w:color="auto" w:sz="8" w:space="0"/>
              <w:right w:val="single" w:color="auto" w:sz="8" w:space="0"/>
            </w:tcBorders>
            <w:tcMar>
              <w:left w:w="108" w:type="dxa"/>
              <w:right w:w="108" w:type="dxa"/>
            </w:tcMar>
            <w:vAlign w:val="center"/>
          </w:tcPr>
          <w:p w14:paraId="5D631AE8">
            <w:pPr>
              <w:widowControl/>
              <w:jc w:val="center"/>
              <w:rPr>
                <w:rFonts w:ascii="宋体" w:eastAsia="宋体" w:cs="宋体"/>
                <w:kern w:val="0"/>
                <w:sz w:val="24"/>
                <w:szCs w:val="24"/>
              </w:rPr>
            </w:pPr>
            <w:r>
              <w:rPr>
                <w:rFonts w:hint="eastAsia" w:ascii="宋体" w:eastAsia="宋体" w:cs="宋体"/>
                <w:kern w:val="0"/>
                <w:sz w:val="20"/>
                <w:szCs w:val="20"/>
              </w:rPr>
              <w:t>尚未审结</w:t>
            </w:r>
          </w:p>
        </w:tc>
        <w:tc>
          <w:tcPr>
            <w:tcW w:w="657" w:type="dxa"/>
            <w:tcBorders>
              <w:top w:val="single" w:color="auto" w:sz="8" w:space="0"/>
              <w:left w:val="nil"/>
              <w:bottom w:val="single" w:color="auto" w:sz="8" w:space="0"/>
              <w:right w:val="single" w:color="auto" w:sz="8" w:space="0"/>
            </w:tcBorders>
            <w:tcMar>
              <w:left w:w="108" w:type="dxa"/>
              <w:right w:w="108" w:type="dxa"/>
            </w:tcMar>
            <w:vAlign w:val="center"/>
          </w:tcPr>
          <w:p w14:paraId="5DD62C99">
            <w:pPr>
              <w:widowControl/>
              <w:jc w:val="center"/>
              <w:rPr>
                <w:rFonts w:ascii="宋体" w:eastAsia="宋体" w:cs="宋体"/>
                <w:kern w:val="0"/>
                <w:sz w:val="24"/>
                <w:szCs w:val="24"/>
              </w:rPr>
            </w:pPr>
            <w:r>
              <w:rPr>
                <w:rFonts w:hint="eastAsia" w:ascii="宋体" w:eastAsia="宋体" w:cs="宋体"/>
                <w:color w:val="000000"/>
                <w:kern w:val="0"/>
                <w:sz w:val="20"/>
                <w:szCs w:val="20"/>
              </w:rPr>
              <w:t>总计</w:t>
            </w:r>
          </w:p>
        </w:tc>
        <w:tc>
          <w:tcPr>
            <w:tcW w:w="656" w:type="dxa"/>
            <w:tcBorders>
              <w:top w:val="single" w:color="auto" w:sz="8" w:space="0"/>
              <w:left w:val="nil"/>
              <w:bottom w:val="single" w:color="auto" w:sz="8" w:space="0"/>
              <w:right w:val="single" w:color="auto" w:sz="8" w:space="0"/>
            </w:tcBorders>
            <w:tcMar>
              <w:left w:w="108" w:type="dxa"/>
              <w:right w:w="108" w:type="dxa"/>
            </w:tcMar>
            <w:vAlign w:val="center"/>
          </w:tcPr>
          <w:p w14:paraId="2FB792F6">
            <w:pPr>
              <w:widowControl/>
              <w:jc w:val="center"/>
              <w:rPr>
                <w:rFonts w:ascii="宋体" w:eastAsia="宋体" w:cs="宋体"/>
                <w:kern w:val="0"/>
                <w:sz w:val="24"/>
                <w:szCs w:val="24"/>
              </w:rPr>
            </w:pPr>
            <w:r>
              <w:rPr>
                <w:rFonts w:hint="eastAsia" w:ascii="宋体" w:eastAsia="宋体" w:cs="宋体"/>
                <w:kern w:val="0"/>
                <w:sz w:val="20"/>
                <w:szCs w:val="20"/>
              </w:rPr>
              <w:t>结果维持</w:t>
            </w:r>
          </w:p>
        </w:tc>
        <w:tc>
          <w:tcPr>
            <w:tcW w:w="656" w:type="dxa"/>
            <w:tcBorders>
              <w:top w:val="single" w:color="auto" w:sz="8" w:space="0"/>
              <w:left w:val="nil"/>
              <w:bottom w:val="single" w:color="auto" w:sz="8" w:space="0"/>
              <w:right w:val="single" w:color="auto" w:sz="8" w:space="0"/>
            </w:tcBorders>
            <w:tcMar>
              <w:left w:w="108" w:type="dxa"/>
              <w:right w:w="108" w:type="dxa"/>
            </w:tcMar>
            <w:vAlign w:val="center"/>
          </w:tcPr>
          <w:p w14:paraId="59CCBC47">
            <w:pPr>
              <w:widowControl/>
              <w:jc w:val="center"/>
              <w:rPr>
                <w:rFonts w:ascii="宋体" w:eastAsia="宋体" w:cs="宋体"/>
                <w:kern w:val="0"/>
                <w:sz w:val="24"/>
                <w:szCs w:val="24"/>
              </w:rPr>
            </w:pPr>
            <w:r>
              <w:rPr>
                <w:rFonts w:hint="eastAsia" w:ascii="宋体" w:eastAsia="宋体" w:cs="宋体"/>
                <w:kern w:val="0"/>
                <w:sz w:val="20"/>
                <w:szCs w:val="20"/>
              </w:rPr>
              <w:t>结果纠正</w:t>
            </w:r>
          </w:p>
        </w:tc>
        <w:tc>
          <w:tcPr>
            <w:tcW w:w="656" w:type="dxa"/>
            <w:tcBorders>
              <w:top w:val="single" w:color="auto" w:sz="8" w:space="0"/>
              <w:left w:val="nil"/>
              <w:bottom w:val="single" w:color="auto" w:sz="8" w:space="0"/>
              <w:right w:val="single" w:color="auto" w:sz="8" w:space="0"/>
            </w:tcBorders>
            <w:tcMar>
              <w:left w:w="108" w:type="dxa"/>
              <w:right w:w="108" w:type="dxa"/>
            </w:tcMar>
            <w:vAlign w:val="center"/>
          </w:tcPr>
          <w:p w14:paraId="5826BE86">
            <w:pPr>
              <w:widowControl/>
              <w:jc w:val="center"/>
              <w:rPr>
                <w:rFonts w:ascii="宋体" w:eastAsia="宋体" w:cs="宋体"/>
                <w:kern w:val="0"/>
                <w:sz w:val="24"/>
                <w:szCs w:val="24"/>
              </w:rPr>
            </w:pPr>
            <w:r>
              <w:rPr>
                <w:rFonts w:hint="eastAsia" w:ascii="宋体" w:eastAsia="宋体" w:cs="宋体"/>
                <w:color w:val="000000"/>
                <w:kern w:val="0"/>
                <w:sz w:val="20"/>
                <w:szCs w:val="20"/>
              </w:rPr>
              <w:t>其他结果</w:t>
            </w:r>
          </w:p>
        </w:tc>
        <w:tc>
          <w:tcPr>
            <w:tcW w:w="657" w:type="dxa"/>
            <w:tcBorders>
              <w:top w:val="single" w:color="auto" w:sz="8" w:space="0"/>
              <w:left w:val="nil"/>
              <w:bottom w:val="single" w:color="auto" w:sz="8" w:space="0"/>
              <w:right w:val="single" w:color="auto" w:sz="8" w:space="0"/>
            </w:tcBorders>
            <w:tcMar>
              <w:left w:w="108" w:type="dxa"/>
              <w:right w:w="108" w:type="dxa"/>
            </w:tcMar>
            <w:vAlign w:val="center"/>
          </w:tcPr>
          <w:p w14:paraId="56E6B4F5">
            <w:pPr>
              <w:widowControl/>
              <w:jc w:val="center"/>
              <w:rPr>
                <w:rFonts w:ascii="宋体" w:eastAsia="宋体" w:cs="宋体"/>
                <w:kern w:val="0"/>
                <w:sz w:val="24"/>
                <w:szCs w:val="24"/>
              </w:rPr>
            </w:pPr>
            <w:r>
              <w:rPr>
                <w:rFonts w:hint="eastAsia" w:ascii="宋体" w:eastAsia="宋体" w:cs="宋体"/>
                <w:kern w:val="0"/>
                <w:sz w:val="20"/>
                <w:szCs w:val="20"/>
              </w:rPr>
              <w:t>尚未审结</w:t>
            </w:r>
          </w:p>
        </w:tc>
        <w:tc>
          <w:tcPr>
            <w:tcW w:w="659" w:type="dxa"/>
            <w:tcBorders>
              <w:top w:val="single" w:color="auto" w:sz="8" w:space="0"/>
              <w:left w:val="nil"/>
              <w:bottom w:val="single" w:color="auto" w:sz="8" w:space="0"/>
              <w:right w:val="single" w:color="auto" w:sz="8" w:space="0"/>
            </w:tcBorders>
            <w:tcMar>
              <w:left w:w="108" w:type="dxa"/>
              <w:right w:w="108" w:type="dxa"/>
            </w:tcMar>
            <w:vAlign w:val="center"/>
          </w:tcPr>
          <w:p w14:paraId="07366A83">
            <w:pPr>
              <w:widowControl/>
              <w:jc w:val="center"/>
              <w:rPr>
                <w:rFonts w:ascii="宋体" w:eastAsia="宋体" w:cs="宋体"/>
                <w:kern w:val="0"/>
                <w:sz w:val="24"/>
                <w:szCs w:val="24"/>
              </w:rPr>
            </w:pPr>
            <w:r>
              <w:rPr>
                <w:rFonts w:hint="eastAsia" w:ascii="宋体" w:eastAsia="宋体" w:cs="宋体"/>
                <w:color w:val="000000"/>
                <w:kern w:val="0"/>
                <w:sz w:val="20"/>
                <w:szCs w:val="20"/>
              </w:rPr>
              <w:t>总计</w:t>
            </w:r>
          </w:p>
        </w:tc>
      </w:tr>
      <w:tr w14:paraId="2936E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3" w:hRule="atLeast"/>
          <w:jc w:val="center"/>
        </w:trPr>
        <w:tc>
          <w:tcPr>
            <w:tcW w:w="655" w:type="dxa"/>
            <w:tcBorders>
              <w:top w:val="nil"/>
              <w:left w:val="single" w:color="auto" w:sz="8" w:space="0"/>
              <w:bottom w:val="single" w:color="auto" w:sz="8" w:space="0"/>
              <w:right w:val="single" w:color="auto" w:sz="8" w:space="0"/>
            </w:tcBorders>
            <w:tcMar>
              <w:left w:w="108" w:type="dxa"/>
              <w:right w:w="108" w:type="dxa"/>
            </w:tcMar>
            <w:vAlign w:val="center"/>
          </w:tcPr>
          <w:p w14:paraId="3435E434">
            <w:pPr>
              <w:widowControl/>
              <w:jc w:val="left"/>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18"/>
                <w:szCs w:val="18"/>
                <w:lang w:val="en-US" w:eastAsia="zh-CN"/>
              </w:rPr>
              <w:t xml:space="preserve"> </w:t>
            </w:r>
          </w:p>
        </w:tc>
        <w:tc>
          <w:tcPr>
            <w:tcW w:w="655" w:type="dxa"/>
            <w:tcBorders>
              <w:top w:val="nil"/>
              <w:left w:val="nil"/>
              <w:bottom w:val="single" w:color="auto" w:sz="8" w:space="0"/>
              <w:right w:val="single" w:color="auto" w:sz="8" w:space="0"/>
            </w:tcBorders>
            <w:tcMar>
              <w:left w:w="108" w:type="dxa"/>
              <w:right w:w="108" w:type="dxa"/>
            </w:tcMar>
            <w:vAlign w:val="center"/>
          </w:tcPr>
          <w:p w14:paraId="0B76E260">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18"/>
                <w:szCs w:val="18"/>
                <w:lang w:val="en-US" w:eastAsia="zh-CN"/>
              </w:rPr>
              <w:t xml:space="preserve"> </w:t>
            </w:r>
          </w:p>
        </w:tc>
        <w:tc>
          <w:tcPr>
            <w:tcW w:w="655" w:type="dxa"/>
            <w:tcBorders>
              <w:top w:val="nil"/>
              <w:left w:val="nil"/>
              <w:bottom w:val="single" w:color="auto" w:sz="8" w:space="0"/>
              <w:right w:val="single" w:color="auto" w:sz="8" w:space="0"/>
            </w:tcBorders>
            <w:tcMar>
              <w:left w:w="108" w:type="dxa"/>
              <w:right w:w="108" w:type="dxa"/>
            </w:tcMar>
            <w:vAlign w:val="center"/>
          </w:tcPr>
          <w:p w14:paraId="6130F2E5">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18"/>
                <w:szCs w:val="18"/>
                <w:lang w:val="en-US" w:eastAsia="zh-CN"/>
              </w:rPr>
              <w:t xml:space="preserve"> </w:t>
            </w:r>
          </w:p>
        </w:tc>
        <w:tc>
          <w:tcPr>
            <w:tcW w:w="655" w:type="dxa"/>
            <w:tcBorders>
              <w:top w:val="nil"/>
              <w:left w:val="nil"/>
              <w:bottom w:val="single" w:color="auto" w:sz="8" w:space="0"/>
              <w:right w:val="single" w:color="auto" w:sz="8" w:space="0"/>
            </w:tcBorders>
            <w:tcMar>
              <w:left w:w="108" w:type="dxa"/>
              <w:right w:w="108" w:type="dxa"/>
            </w:tcMar>
            <w:vAlign w:val="center"/>
          </w:tcPr>
          <w:p w14:paraId="5BFFE7F1">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18"/>
                <w:szCs w:val="18"/>
                <w:lang w:val="en-US" w:eastAsia="zh-CN"/>
              </w:rPr>
              <w:t xml:space="preserve"> </w:t>
            </w:r>
          </w:p>
        </w:tc>
        <w:tc>
          <w:tcPr>
            <w:tcW w:w="634" w:type="dxa"/>
            <w:tcBorders>
              <w:top w:val="nil"/>
              <w:left w:val="nil"/>
              <w:bottom w:val="single" w:color="auto" w:sz="8" w:space="0"/>
              <w:right w:val="single" w:color="auto" w:sz="8" w:space="0"/>
            </w:tcBorders>
            <w:tcMar>
              <w:left w:w="108" w:type="dxa"/>
              <w:right w:w="108" w:type="dxa"/>
            </w:tcMar>
            <w:vAlign w:val="center"/>
          </w:tcPr>
          <w:p w14:paraId="2964101B">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18"/>
                <w:szCs w:val="18"/>
                <w:lang w:val="en-US" w:eastAsia="zh-CN"/>
              </w:rPr>
              <w:t xml:space="preserve"> </w:t>
            </w:r>
          </w:p>
        </w:tc>
        <w:tc>
          <w:tcPr>
            <w:tcW w:w="676" w:type="dxa"/>
            <w:tcBorders>
              <w:top w:val="nil"/>
              <w:left w:val="nil"/>
              <w:bottom w:val="single" w:color="auto" w:sz="8" w:space="0"/>
              <w:right w:val="single" w:color="auto" w:sz="8" w:space="0"/>
            </w:tcBorders>
            <w:tcMar>
              <w:left w:w="108" w:type="dxa"/>
              <w:right w:w="108" w:type="dxa"/>
            </w:tcMar>
            <w:vAlign w:val="center"/>
          </w:tcPr>
          <w:p w14:paraId="7370B395">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18"/>
                <w:szCs w:val="18"/>
                <w:lang w:val="en-US" w:eastAsia="zh-CN"/>
              </w:rPr>
              <w:t xml:space="preserve"> </w:t>
            </w:r>
          </w:p>
        </w:tc>
        <w:tc>
          <w:tcPr>
            <w:tcW w:w="656" w:type="dxa"/>
            <w:tcBorders>
              <w:top w:val="nil"/>
              <w:left w:val="nil"/>
              <w:bottom w:val="single" w:color="auto" w:sz="8" w:space="0"/>
              <w:right w:val="single" w:color="auto" w:sz="8" w:space="0"/>
            </w:tcBorders>
            <w:tcMar>
              <w:left w:w="108" w:type="dxa"/>
              <w:right w:w="108" w:type="dxa"/>
            </w:tcMar>
            <w:vAlign w:val="center"/>
          </w:tcPr>
          <w:p w14:paraId="15566F63">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18"/>
                <w:szCs w:val="18"/>
                <w:lang w:val="en-US" w:eastAsia="zh-CN"/>
              </w:rPr>
              <w:t xml:space="preserve"> </w:t>
            </w:r>
          </w:p>
        </w:tc>
        <w:tc>
          <w:tcPr>
            <w:tcW w:w="656" w:type="dxa"/>
            <w:tcBorders>
              <w:top w:val="nil"/>
              <w:left w:val="nil"/>
              <w:bottom w:val="single" w:color="auto" w:sz="8" w:space="0"/>
              <w:right w:val="single" w:color="auto" w:sz="8" w:space="0"/>
            </w:tcBorders>
            <w:tcMar>
              <w:left w:w="108" w:type="dxa"/>
              <w:right w:w="108" w:type="dxa"/>
            </w:tcMar>
            <w:vAlign w:val="center"/>
          </w:tcPr>
          <w:p w14:paraId="6E2AA1BC">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18"/>
                <w:szCs w:val="18"/>
                <w:lang w:val="en-US" w:eastAsia="zh-CN"/>
              </w:rPr>
              <w:t xml:space="preserve"> </w:t>
            </w:r>
          </w:p>
        </w:tc>
        <w:tc>
          <w:tcPr>
            <w:tcW w:w="656" w:type="dxa"/>
            <w:tcBorders>
              <w:top w:val="nil"/>
              <w:left w:val="nil"/>
              <w:bottom w:val="single" w:color="auto" w:sz="8" w:space="0"/>
              <w:right w:val="single" w:color="auto" w:sz="8" w:space="0"/>
            </w:tcBorders>
            <w:tcMar>
              <w:left w:w="108" w:type="dxa"/>
              <w:right w:w="108" w:type="dxa"/>
            </w:tcMar>
            <w:vAlign w:val="center"/>
          </w:tcPr>
          <w:p w14:paraId="7E9E13C1">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18"/>
                <w:szCs w:val="18"/>
                <w:lang w:val="en-US" w:eastAsia="zh-CN"/>
              </w:rPr>
              <w:t xml:space="preserve"> </w:t>
            </w:r>
          </w:p>
        </w:tc>
        <w:tc>
          <w:tcPr>
            <w:tcW w:w="657" w:type="dxa"/>
            <w:tcBorders>
              <w:top w:val="nil"/>
              <w:left w:val="nil"/>
              <w:bottom w:val="single" w:color="auto" w:sz="8" w:space="0"/>
              <w:right w:val="single" w:color="auto" w:sz="8" w:space="0"/>
            </w:tcBorders>
            <w:tcMar>
              <w:left w:w="108" w:type="dxa"/>
              <w:right w:w="108" w:type="dxa"/>
            </w:tcMar>
            <w:vAlign w:val="center"/>
          </w:tcPr>
          <w:p w14:paraId="581CD9E9">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18"/>
                <w:szCs w:val="18"/>
                <w:lang w:val="en-US" w:eastAsia="zh-CN"/>
              </w:rPr>
              <w:t xml:space="preserve"> </w:t>
            </w:r>
          </w:p>
        </w:tc>
        <w:tc>
          <w:tcPr>
            <w:tcW w:w="656" w:type="dxa"/>
            <w:tcBorders>
              <w:top w:val="nil"/>
              <w:left w:val="nil"/>
              <w:bottom w:val="single" w:color="auto" w:sz="8" w:space="0"/>
              <w:right w:val="single" w:color="auto" w:sz="8" w:space="0"/>
            </w:tcBorders>
            <w:tcMar>
              <w:left w:w="108" w:type="dxa"/>
              <w:right w:w="108" w:type="dxa"/>
            </w:tcMar>
            <w:vAlign w:val="center"/>
          </w:tcPr>
          <w:p w14:paraId="5E440AB9">
            <w:pPr>
              <w:widowControl/>
              <w:jc w:val="center"/>
              <w:rPr>
                <w:rFonts w:ascii="Times New Roman" w:hAnsi="Times New Roman" w:eastAsia="宋体" w:cs="Times New Roman"/>
                <w:kern w:val="0"/>
                <w:sz w:val="24"/>
                <w:szCs w:val="24"/>
              </w:rPr>
            </w:pPr>
            <w:r>
              <w:rPr>
                <w:rFonts w:hint="eastAsia" w:ascii="Times New Roman" w:hAnsi="Times New Roman" w:cs="Times New Roman"/>
                <w:kern w:val="0"/>
                <w:sz w:val="18"/>
                <w:szCs w:val="18"/>
                <w:lang w:val="en-US" w:eastAsia="zh-CN"/>
              </w:rPr>
              <w:t xml:space="preserve"> </w:t>
            </w:r>
          </w:p>
        </w:tc>
        <w:tc>
          <w:tcPr>
            <w:tcW w:w="656" w:type="dxa"/>
            <w:tcBorders>
              <w:top w:val="nil"/>
              <w:left w:val="nil"/>
              <w:bottom w:val="single" w:color="auto" w:sz="8" w:space="0"/>
              <w:right w:val="single" w:color="auto" w:sz="8" w:space="0"/>
            </w:tcBorders>
            <w:tcMar>
              <w:left w:w="108" w:type="dxa"/>
              <w:right w:w="108" w:type="dxa"/>
            </w:tcMar>
            <w:vAlign w:val="center"/>
          </w:tcPr>
          <w:p w14:paraId="15E9F373">
            <w:pPr>
              <w:widowControl/>
              <w:jc w:val="center"/>
              <w:rPr>
                <w:rFonts w:ascii="Times New Roman" w:hAnsi="Times New Roman" w:eastAsia="宋体" w:cs="Times New Roman"/>
                <w:kern w:val="0"/>
                <w:sz w:val="24"/>
                <w:szCs w:val="24"/>
              </w:rPr>
            </w:pPr>
            <w:r>
              <w:rPr>
                <w:rFonts w:hint="eastAsia" w:ascii="Times New Roman" w:hAnsi="Times New Roman" w:cs="Times New Roman"/>
                <w:kern w:val="0"/>
                <w:sz w:val="18"/>
                <w:szCs w:val="18"/>
                <w:lang w:val="en-US" w:eastAsia="zh-CN"/>
              </w:rPr>
              <w:t xml:space="preserve"> </w:t>
            </w:r>
          </w:p>
        </w:tc>
        <w:tc>
          <w:tcPr>
            <w:tcW w:w="656" w:type="dxa"/>
            <w:tcBorders>
              <w:top w:val="nil"/>
              <w:left w:val="nil"/>
              <w:bottom w:val="single" w:color="auto" w:sz="8" w:space="0"/>
              <w:right w:val="single" w:color="auto" w:sz="8" w:space="0"/>
            </w:tcBorders>
            <w:tcMar>
              <w:left w:w="108" w:type="dxa"/>
              <w:right w:w="108" w:type="dxa"/>
            </w:tcMar>
            <w:vAlign w:val="center"/>
          </w:tcPr>
          <w:p w14:paraId="584B6111">
            <w:pPr>
              <w:widowControl/>
              <w:jc w:val="center"/>
              <w:rPr>
                <w:rFonts w:ascii="Times New Roman" w:hAnsi="Times New Roman" w:eastAsia="宋体" w:cs="Times New Roman"/>
                <w:kern w:val="0"/>
                <w:sz w:val="24"/>
                <w:szCs w:val="24"/>
              </w:rPr>
            </w:pPr>
            <w:r>
              <w:rPr>
                <w:rFonts w:hint="eastAsia" w:ascii="Times New Roman" w:hAnsi="Times New Roman" w:cs="Times New Roman"/>
                <w:kern w:val="0"/>
                <w:sz w:val="18"/>
                <w:szCs w:val="18"/>
                <w:lang w:val="en-US" w:eastAsia="zh-CN"/>
              </w:rPr>
              <w:t xml:space="preserve"> </w:t>
            </w:r>
          </w:p>
        </w:tc>
        <w:tc>
          <w:tcPr>
            <w:tcW w:w="657" w:type="dxa"/>
            <w:tcBorders>
              <w:top w:val="nil"/>
              <w:left w:val="nil"/>
              <w:bottom w:val="single" w:color="auto" w:sz="8" w:space="0"/>
              <w:right w:val="single" w:color="auto" w:sz="8" w:space="0"/>
            </w:tcBorders>
            <w:tcMar>
              <w:left w:w="108" w:type="dxa"/>
              <w:right w:w="108" w:type="dxa"/>
            </w:tcMar>
            <w:vAlign w:val="center"/>
          </w:tcPr>
          <w:p w14:paraId="71ED71CE">
            <w:pPr>
              <w:widowControl/>
              <w:jc w:val="center"/>
              <w:rPr>
                <w:rFonts w:ascii="Times New Roman" w:hAnsi="Times New Roman" w:eastAsia="宋体" w:cs="Times New Roman"/>
                <w:kern w:val="0"/>
                <w:sz w:val="24"/>
                <w:szCs w:val="24"/>
              </w:rPr>
            </w:pPr>
            <w:r>
              <w:rPr>
                <w:rFonts w:hint="eastAsia" w:ascii="Times New Roman" w:hAnsi="Times New Roman" w:cs="Times New Roman"/>
                <w:kern w:val="0"/>
                <w:sz w:val="18"/>
                <w:szCs w:val="18"/>
                <w:lang w:val="en-US" w:eastAsia="zh-CN"/>
              </w:rPr>
              <w:t xml:space="preserve"> </w:t>
            </w:r>
          </w:p>
        </w:tc>
        <w:tc>
          <w:tcPr>
            <w:tcW w:w="659" w:type="dxa"/>
            <w:tcBorders>
              <w:top w:val="nil"/>
              <w:left w:val="nil"/>
              <w:bottom w:val="single" w:color="auto" w:sz="8" w:space="0"/>
              <w:right w:val="single" w:color="auto" w:sz="8" w:space="0"/>
            </w:tcBorders>
            <w:tcMar>
              <w:left w:w="108" w:type="dxa"/>
              <w:right w:w="108" w:type="dxa"/>
            </w:tcMar>
            <w:vAlign w:val="center"/>
          </w:tcPr>
          <w:p w14:paraId="1DB4B1FB">
            <w:pPr>
              <w:widowControl/>
              <w:jc w:val="center"/>
              <w:rPr>
                <w:rFonts w:ascii="Times New Roman" w:hAnsi="Times New Roman" w:eastAsia="宋体" w:cs="Times New Roman"/>
                <w:kern w:val="0"/>
                <w:sz w:val="24"/>
                <w:szCs w:val="24"/>
              </w:rPr>
            </w:pPr>
            <w:r>
              <w:rPr>
                <w:rFonts w:hint="eastAsia" w:ascii="Times New Roman" w:hAnsi="Times New Roman" w:cs="Times New Roman"/>
                <w:kern w:val="0"/>
                <w:sz w:val="18"/>
                <w:szCs w:val="18"/>
                <w:lang w:val="en-US" w:eastAsia="zh-CN"/>
              </w:rPr>
              <w:t xml:space="preserve"> </w:t>
            </w:r>
          </w:p>
        </w:tc>
      </w:tr>
    </w:tbl>
    <w:p w14:paraId="11A6E55E">
      <w:pPr>
        <w:rPr>
          <w:rFonts w:ascii="仿宋_GB2312" w:eastAsia="仿宋_GB2312"/>
          <w:sz w:val="32"/>
          <w:szCs w:val="32"/>
        </w:rPr>
      </w:pPr>
    </w:p>
    <w:p w14:paraId="658D43B3">
      <w:pPr>
        <w:ind w:firstLine="640" w:firstLineChars="200"/>
        <w:rPr>
          <w:rFonts w:ascii="方正黑体_GBK" w:eastAsia="方正黑体_GBK" w:cs="方正黑体_GBK"/>
          <w:sz w:val="32"/>
          <w:szCs w:val="32"/>
        </w:rPr>
      </w:pPr>
      <w:r>
        <w:rPr>
          <w:rFonts w:hint="eastAsia" w:ascii="方正黑体_GBK" w:eastAsia="方正黑体_GBK" w:cs="方正黑体_GBK"/>
          <w:sz w:val="32"/>
          <w:szCs w:val="32"/>
        </w:rPr>
        <w:t>五、存在的主要问题及改进情况</w:t>
      </w:r>
    </w:p>
    <w:p w14:paraId="74456BE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洋口港经济开发区的政府信息公开工作在上级的正确引领以及社会各界的有力支持下，收获了一定成果。信息公开在载体形式、数量和质量上都有有效提升，群众满意度明显提高。然而，对比上级主管部门的要求以及新时代洋口港对外宣传的迫切需求，仍存在诸多差距。为进一步加大信息公开力度、提升公开质量，洋口港经济开发区将迅速行动、立即整改，具体举措如下：1.强化及时性与针对性：密切关注群众反映的热点、难点和敏感问题，主动且最大程度地及时公开相关信息，确保群众能第一时间获取所需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2.明确责任与加强监管：清晰界定目标任务，将工作责任落实到具体个人，同时加大对信息公开工作的日常监督管理力度，保障工作有序推进</w:t>
      </w:r>
      <w:r>
        <w:rPr>
          <w:rFonts w:hint="eastAsia" w:ascii="仿宋_GB2312" w:hAnsi="仿宋_GB2312" w:eastAsia="仿宋_GB2312" w:cs="仿宋_GB2312"/>
          <w:sz w:val="32"/>
          <w:szCs w:val="32"/>
          <w:lang w:eastAsia="zh-CN"/>
        </w:rPr>
        <w:t>。</w:t>
      </w:r>
      <w:bookmarkStart w:id="0" w:name="_GoBack"/>
      <w:bookmarkEnd w:id="0"/>
      <w:r>
        <w:rPr>
          <w:rFonts w:hint="eastAsia" w:ascii="仿宋_GB2312" w:hAnsi="仿宋_GB2312" w:eastAsia="仿宋_GB2312" w:cs="仿宋_GB2312"/>
          <w:sz w:val="32"/>
          <w:szCs w:val="32"/>
        </w:rPr>
        <w:t>3.规范与健全制度：进一步完善政府信息公开制度，使其更加规范健全，以此提高信息公开的整体质量，确保公开内容准确、全面、规范。4.提升政策解读时效性：围绕上级的重大决策部署以及全区重点工作，及时且高效地开展政策解读工作，让群众更好地理解政策意图与工作方向。</w:t>
      </w:r>
    </w:p>
    <w:p w14:paraId="239143E4">
      <w:pPr>
        <w:ind w:firstLine="640" w:firstLineChars="200"/>
        <w:rPr>
          <w:rFonts w:ascii="黑体" w:eastAsia="黑体"/>
          <w:sz w:val="32"/>
          <w:szCs w:val="32"/>
        </w:rPr>
      </w:pPr>
      <w:r>
        <w:rPr>
          <w:rFonts w:hint="eastAsia" w:ascii="黑体" w:eastAsia="黑体"/>
          <w:sz w:val="32"/>
          <w:szCs w:val="32"/>
        </w:rPr>
        <w:t>六、其他需要报告的事项</w:t>
      </w:r>
    </w:p>
    <w:p w14:paraId="42843D67">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（一）主动公开政府信息数量</w:t>
      </w:r>
    </w:p>
    <w:p w14:paraId="7A6A40BF">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202</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4</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年度，本单位主动公开信息条数</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118</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条。</w:t>
      </w:r>
    </w:p>
    <w:p w14:paraId="51C08D17">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（二）主动公开渠道</w:t>
      </w:r>
    </w:p>
    <w:p w14:paraId="59AEF575">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1.政府门户网站。本单位在如东政府网政府信息公开栏目发布信息</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118</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条。</w:t>
      </w:r>
    </w:p>
    <w:p w14:paraId="09025CDD">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2.公共查阅点。本单位设置1个文件查阅点，全年向县档案馆报送</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109</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份文件。</w:t>
      </w:r>
    </w:p>
    <w:p w14:paraId="14DDAC84">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3.新闻发布会</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全年举办0次新闻发布会。</w:t>
      </w:r>
    </w:p>
    <w:p w14:paraId="3615C936">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4.市（县）长信箱</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全年处理市（县）长信箱信件</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6</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件，处理率达到100%。</w:t>
      </w:r>
    </w:p>
    <w:p w14:paraId="79E89FCD">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5.政府服务热线。全年处理县12345政府服务热线联动指挥平台交办件</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1002</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件，及时办结率为100%。</w:t>
      </w:r>
    </w:p>
    <w:p w14:paraId="482AFD57">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6.其他途径。通过报纸、电台、电视台、新媒体、微信公众号等平台主动公布职责范围内的重要政府信息</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400多</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条。</w:t>
      </w:r>
    </w:p>
    <w:p w14:paraId="249ADE7D">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三</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其他需要注明情况</w:t>
      </w:r>
    </w:p>
    <w:p w14:paraId="48270AB9">
      <w:pPr>
        <w:pStyle w:val="2"/>
        <w:rPr>
          <w:rFonts w:hint="default"/>
          <w:lang w:val="en-US" w:eastAsia="zh-CN"/>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202</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4</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年度</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，本单位未收取因依申请公开办理产生的信息处理费。</w:t>
      </w:r>
    </w:p>
    <w:p w14:paraId="4111BF72"/>
    <w:sectPr>
      <w:footerReference r:id="rId3" w:type="default"/>
      <w:pgSz w:w="11906" w:h="16838"/>
      <w:pgMar w:top="1814"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48C6B862-63E1-43BC-8B8F-621CCCACF2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6F0A6B2D-A335-46D1-82F9-2B150A73D5C8}"/>
  </w:font>
  <w:font w:name="方正黑体_GBK">
    <w:panose1 w:val="03000509000000000000"/>
    <w:charset w:val="86"/>
    <w:family w:val="script"/>
    <w:pitch w:val="default"/>
    <w:sig w:usb0="00000001" w:usb1="080E0000" w:usb2="00000000" w:usb3="00000000" w:csb0="00040000" w:csb1="00000000"/>
    <w:embedRegular r:id="rId3" w:fontKey="{55029C0B-5586-446A-A82E-455FE939B1C5}"/>
  </w:font>
  <w:font w:name="仿宋_GB2312">
    <w:panose1 w:val="02010609030101010101"/>
    <w:charset w:val="86"/>
    <w:family w:val="modern"/>
    <w:pitch w:val="default"/>
    <w:sig w:usb0="00000001" w:usb1="080E0000" w:usb2="00000000" w:usb3="00000000" w:csb0="00040000" w:csb1="00000000"/>
    <w:embedRegular r:id="rId4" w:fontKey="{CF1660F2-5EB2-4B74-885B-27D4095CD9DB}"/>
  </w:font>
  <w:font w:name="楷体_GB2312">
    <w:panose1 w:val="02010609030101010101"/>
    <w:charset w:val="86"/>
    <w:family w:val="auto"/>
    <w:pitch w:val="default"/>
    <w:sig w:usb0="00000001" w:usb1="080E0000" w:usb2="00000000" w:usb3="00000000" w:csb0="00040000" w:csb1="00000000"/>
    <w:embedRegular r:id="rId5" w:fontKey="{E0E8ED1B-2604-4ECC-8A54-6811D828AA3E}"/>
  </w:font>
  <w:font w:name="楷体">
    <w:panose1 w:val="02010609060101010101"/>
    <w:charset w:val="86"/>
    <w:family w:val="modern"/>
    <w:pitch w:val="default"/>
    <w:sig w:usb0="800002BF" w:usb1="38CF7CFA" w:usb2="00000016" w:usb3="00000000" w:csb0="00040001" w:csb1="00000000"/>
    <w:embedRegular r:id="rId6" w:fontKey="{05663101-7E56-4166-8F21-9A63F5B51864}"/>
  </w:font>
  <w:font w:name="方正仿宋_GBK">
    <w:panose1 w:val="03000509000000000000"/>
    <w:charset w:val="86"/>
    <w:family w:val="script"/>
    <w:pitch w:val="default"/>
    <w:sig w:usb0="00000001" w:usb1="080E0000" w:usb2="00000000" w:usb3="00000000" w:csb0="00040000" w:csb1="00000000"/>
    <w:embedRegular r:id="rId7" w:fontKey="{F25E2FBF-FEC7-4AB1-BEB1-F6CF0BBE9FE0}"/>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062E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EBBAB">
                          <w:pPr>
                            <w:pStyle w:val="3"/>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EBBAB">
                    <w:pPr>
                      <w:pStyle w:val="3"/>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ZmYxOTkxZTE4OTZlMTE2YmQ3OWQzMWI1YWJjYjUifQ=="/>
  </w:docVars>
  <w:rsids>
    <w:rsidRoot w:val="2AE61FA9"/>
    <w:rsid w:val="05CA7F4D"/>
    <w:rsid w:val="0CA43CE5"/>
    <w:rsid w:val="0E3A5F83"/>
    <w:rsid w:val="10BE10ED"/>
    <w:rsid w:val="1EB4768C"/>
    <w:rsid w:val="1F812483"/>
    <w:rsid w:val="203970C4"/>
    <w:rsid w:val="2042704D"/>
    <w:rsid w:val="20445115"/>
    <w:rsid w:val="225C2FF1"/>
    <w:rsid w:val="2AE61FA9"/>
    <w:rsid w:val="2C4C0C14"/>
    <w:rsid w:val="2F5B34A2"/>
    <w:rsid w:val="32AE0B6A"/>
    <w:rsid w:val="378B30A8"/>
    <w:rsid w:val="3C0E6BAC"/>
    <w:rsid w:val="3F944A63"/>
    <w:rsid w:val="410F072B"/>
    <w:rsid w:val="4A0C1580"/>
    <w:rsid w:val="4F9803B2"/>
    <w:rsid w:val="52537B63"/>
    <w:rsid w:val="567011EA"/>
    <w:rsid w:val="5B07533E"/>
    <w:rsid w:val="5F20557C"/>
    <w:rsid w:val="60AF5F2B"/>
    <w:rsid w:val="62CA6A4B"/>
    <w:rsid w:val="690C0DC9"/>
    <w:rsid w:val="6A786C43"/>
    <w:rsid w:val="776A55AA"/>
    <w:rsid w:val="79703A50"/>
    <w:rsid w:val="7BF32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Arial"/>
      <w:kern w:val="2"/>
      <w:sz w:val="21"/>
      <w:szCs w:val="22"/>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567"/>
    </w:pPr>
    <w:rPr>
      <w:rFonts w:ascii="Calibri" w:hAnsi="Calibri" w:eastAsia="宋体" w:cs="Times New Roman"/>
      <w:szCs w:val="24"/>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2128</Words>
  <Characters>2224</Characters>
  <Lines>0</Lines>
  <Paragraphs>0</Paragraphs>
  <TotalTime>11</TotalTime>
  <ScaleCrop>false</ScaleCrop>
  <LinksUpToDate>false</LinksUpToDate>
  <CharactersWithSpaces>2412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2021-12-29T08:10:00Z</dcterms:created>
  <dc:creator>猫</dc:creator>
  <cp:lastModifiedBy>王勇</cp:lastModifiedBy>
  <cp:lastPrinted>2024-12-23T02:38:00Z</cp:lastPrinted>
  <dcterms:modified xsi:type="dcterms:W3CDTF">2025-12-17T08:22:04Z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22DD04DEC89A4E34829D44857AB9EE86_13</vt:lpwstr>
  </property>
  <property fmtid="{D5CDD505-2E9C-101B-9397-08002B2CF9AE}" pid="4" name="KSOTemplateDocerSaveRecord">
    <vt:lpwstr>eyJoZGlkIjoiNmFiYjE1NmJlOTMwYzYzMTNjZWE2ZWU5YTBhNWQ4ODYiLCJ1c2VySWQiOiI1MzY4ODU5MTcifQ==</vt:lpwstr>
  </property>
</Properties>
</file>