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EE31F">
      <w:pPr>
        <w:spacing w:line="620" w:lineRule="exact"/>
        <w:ind w:firstLine="25"/>
        <w:jc w:val="both"/>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pacing w:val="-15"/>
          <w:sz w:val="32"/>
          <w:szCs w:val="32"/>
        </w:rPr>
        <w:t>附件</w:t>
      </w:r>
      <w:r>
        <w:rPr>
          <w:rFonts w:hint="default" w:ascii="Times New Roman" w:hAnsi="Times New Roman" w:eastAsia="方正黑体_GBK" w:cs="Times New Roman"/>
          <w:spacing w:val="-15"/>
          <w:sz w:val="32"/>
          <w:szCs w:val="32"/>
          <w:lang w:val="en-US" w:eastAsia="zh-CN"/>
        </w:rPr>
        <w:t>3</w:t>
      </w:r>
    </w:p>
    <w:p w14:paraId="1A26B891">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洋口港经济开发区</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w:t>
      </w:r>
    </w:p>
    <w:p w14:paraId="3970A423">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政府信息公开工作年度报告</w:t>
      </w:r>
    </w:p>
    <w:p w14:paraId="4C77E5F5">
      <w:pPr>
        <w:rPr>
          <w:rFonts w:hint="default" w:ascii="Times New Roman" w:hAnsi="Times New Roman" w:cs="Times New Roman"/>
        </w:rPr>
      </w:pPr>
    </w:p>
    <w:p w14:paraId="116F8D9F">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一、总体情况</w:t>
      </w:r>
    </w:p>
    <w:p w14:paraId="0046D30C">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根据《中华人民共和国政府信息公开条例》规定</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《洋口港经济开发区202</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年政府信息公开工作年度报告》已经研究同意，现予公开发布。</w:t>
      </w:r>
    </w:p>
    <w:p w14:paraId="7EF13D88">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黑体"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kern w:val="0"/>
          <w:sz w:val="32"/>
          <w:szCs w:val="32"/>
          <w:lang w:val="en-US" w:eastAsia="zh-CN" w:bidi="ar-SA"/>
          <w14:textFill>
            <w14:solidFill>
              <w14:schemeClr w14:val="tx1"/>
            </w14:solidFill>
          </w14:textFill>
        </w:rPr>
        <w:t xml:space="preserve">一、2025年政府信息公开总体情况  </w:t>
      </w:r>
    </w:p>
    <w:p w14:paraId="3EBFB4C7">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202</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年，在县委、县政府的正确领导下，在县政府</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办</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的统一部署和具体指导下，洋口港经济开发区深入贯彻落实中央和省市县委的各项决策部署，</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聚焦中心促发展，深入</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基层</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优服务。</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坚持以习近平新时代中国特色社会主义思想为指导，认真学习贯彻</w:t>
      </w:r>
      <w:r>
        <w:rPr>
          <w:rFonts w:hint="default" w:ascii="Times New Roman" w:hAnsi="Times New Roman" w:eastAsia="仿宋_GB2312" w:cs="Times New Roman"/>
          <w:snapToGrid w:val="0"/>
          <w:spacing w:val="0"/>
          <w:sz w:val="32"/>
          <w:szCs w:val="32"/>
          <w:highlight w:val="none"/>
        </w:rPr>
        <w:t>党的二十大和二十届历次全会精神</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深入贯彻落实《中华人民共和国政府信息公开条例》和省市县有关政府信息公开的文件精神，创新创造公开方式，全面推进权力运行全流程、政务服务全过程公开，以公开促落实、以公开促规范、以公开促服务，进一步提升在全县发展大局中的贡献度，坚决扛起县委</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县政府</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赋予的</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全力勇担江苏沿海高质量发展重要增长极的强引擎</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”的</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光荣使命</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，为全县高质量发展提供坚实支撑。</w:t>
      </w:r>
    </w:p>
    <w:p w14:paraId="63EE0A49">
      <w:pPr>
        <w:keepNext w:val="0"/>
        <w:keepLines w:val="0"/>
        <w:pageBreakBefore w:val="0"/>
        <w:widowControl/>
        <w:kinsoku/>
        <w:wordWrap/>
        <w:overflowPunct/>
        <w:topLinePunct w:val="0"/>
        <w:autoSpaceDE/>
        <w:autoSpaceDN/>
        <w:bidi w:val="0"/>
        <w:adjustRightInd/>
        <w:spacing w:line="590" w:lineRule="exact"/>
        <w:ind w:firstLine="643" w:firstLineChars="200"/>
        <w:textAlignment w:val="baseline"/>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Style w:val="8"/>
          <w:rFonts w:hint="default" w:ascii="Times New Roman" w:hAnsi="Times New Roman" w:eastAsia="楷体_GB2312" w:cs="Times New Roman"/>
          <w:b/>
          <w:bCs/>
          <w:i w:val="0"/>
          <w:caps w:val="0"/>
          <w:spacing w:val="0"/>
          <w:w w:val="100"/>
          <w:sz w:val="32"/>
          <w:szCs w:val="32"/>
          <w:lang w:val="en-US" w:eastAsia="zh-CN"/>
        </w:rPr>
        <w:t>（一）以更加有力的措施推进政府信息公开。</w:t>
      </w:r>
      <w:r>
        <w:rPr>
          <w:rStyle w:val="8"/>
          <w:rFonts w:hint="default" w:ascii="Times New Roman" w:hAnsi="Times New Roman" w:eastAsia="仿宋_GB2312" w:cs="Times New Roman"/>
          <w:b/>
          <w:bCs/>
          <w:i w:val="0"/>
          <w:caps w:val="0"/>
          <w:spacing w:val="0"/>
          <w:w w:val="100"/>
          <w:sz w:val="32"/>
          <w:szCs w:val="32"/>
          <w:lang w:val="en-US" w:eastAsia="zh-CN"/>
        </w:rPr>
        <w:t>一是思想</w:t>
      </w:r>
      <w:r>
        <w:rPr>
          <w:rStyle w:val="8"/>
          <w:rFonts w:hint="default" w:ascii="Times New Roman" w:hAnsi="Times New Roman" w:eastAsia="仿宋_GB2312" w:cs="Times New Roman"/>
          <w:b/>
          <w:bCs/>
          <w:i w:val="0"/>
          <w:caps w:val="0"/>
          <w:spacing w:val="0"/>
          <w:w w:val="100"/>
          <w:sz w:val="32"/>
          <w:szCs w:val="32"/>
          <w:lang w:val="en-US" w:eastAsia="zh-CN"/>
        </w:rPr>
        <w:t>认识再提升</w:t>
      </w:r>
      <w:r>
        <w:rPr>
          <w:rStyle w:val="8"/>
          <w:rFonts w:hint="default" w:ascii="Times New Roman" w:hAnsi="Times New Roman" w:eastAsia="仿宋_GB2312" w:cs="Times New Roman"/>
          <w:b/>
          <w:bCs/>
          <w:i w:val="0"/>
          <w:caps w:val="0"/>
          <w:spacing w:val="0"/>
          <w:w w:val="100"/>
          <w:sz w:val="32"/>
          <w:szCs w:val="32"/>
          <w:lang w:val="en-US" w:eastAsia="zh-CN"/>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为进一步规范政府信息公开，</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提升信息公开联络员的思想认识，</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在领导小组、信息公开监督管理小组有序运转的基础上，</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进一步明确各自</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责任，</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强化全区各部门以及</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信息公开联络员</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对信息公开</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工作</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的重视</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提高</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信息报送质量。二</w:t>
      </w:r>
      <w:r>
        <w:rPr>
          <w:rStyle w:val="8"/>
          <w:rFonts w:hint="default" w:ascii="Times New Roman" w:hAnsi="Times New Roman" w:eastAsia="仿宋_GB2312" w:cs="Times New Roman"/>
          <w:b/>
          <w:bCs/>
          <w:i w:val="0"/>
          <w:caps w:val="0"/>
          <w:spacing w:val="0"/>
          <w:w w:val="100"/>
          <w:sz w:val="32"/>
          <w:szCs w:val="32"/>
          <w:lang w:val="en-US" w:eastAsia="zh-CN"/>
        </w:rPr>
        <w:t>是</w:t>
      </w:r>
      <w:r>
        <w:rPr>
          <w:rStyle w:val="8"/>
          <w:rFonts w:hint="default" w:ascii="Times New Roman" w:hAnsi="Times New Roman" w:eastAsia="仿宋_GB2312" w:cs="Times New Roman"/>
          <w:b/>
          <w:bCs/>
          <w:i w:val="0"/>
          <w:caps w:val="0"/>
          <w:spacing w:val="0"/>
          <w:w w:val="100"/>
          <w:sz w:val="32"/>
          <w:szCs w:val="32"/>
          <w:lang w:val="en-US" w:eastAsia="zh-CN"/>
        </w:rPr>
        <w:t>部门分工再明确</w:t>
      </w:r>
      <w:r>
        <w:rPr>
          <w:rStyle w:val="8"/>
          <w:rFonts w:hint="default" w:ascii="Times New Roman" w:hAnsi="Times New Roman" w:eastAsia="仿宋_GB2312" w:cs="Times New Roman"/>
          <w:b/>
          <w:bCs/>
          <w:i w:val="0"/>
          <w:caps w:val="0"/>
          <w:spacing w:val="0"/>
          <w:w w:val="100"/>
          <w:sz w:val="32"/>
          <w:szCs w:val="32"/>
          <w:lang w:val="en-US" w:eastAsia="zh-CN"/>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明确由区党政办公室</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统筹</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、机关各局室予以配合的政府信息公开管理制度。党政办公室</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以及各个局室均严格</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按照“三审三核”制度</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进行信息公开审查</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，三审确认无误后方可进行公开，严把政治关、法律关、保密关、文字关。</w:t>
      </w:r>
      <w:r>
        <w:rPr>
          <w:rStyle w:val="8"/>
          <w:rFonts w:hint="default" w:ascii="Times New Roman" w:hAnsi="Times New Roman" w:eastAsia="仿宋_GB2312" w:cs="Times New Roman"/>
          <w:b/>
          <w:bCs/>
          <w:i w:val="0"/>
          <w:caps w:val="0"/>
          <w:spacing w:val="0"/>
          <w:w w:val="100"/>
          <w:sz w:val="32"/>
          <w:szCs w:val="32"/>
          <w:lang w:val="en-US" w:eastAsia="zh-CN"/>
        </w:rPr>
        <w:t>三是</w:t>
      </w:r>
      <w:r>
        <w:rPr>
          <w:rStyle w:val="8"/>
          <w:rFonts w:hint="default" w:ascii="Times New Roman" w:hAnsi="Times New Roman" w:eastAsia="仿宋_GB2312" w:cs="Times New Roman"/>
          <w:b/>
          <w:bCs/>
          <w:i w:val="0"/>
          <w:caps w:val="0"/>
          <w:spacing w:val="0"/>
          <w:w w:val="100"/>
          <w:sz w:val="32"/>
          <w:szCs w:val="32"/>
          <w:lang w:val="en-US" w:eastAsia="zh-CN"/>
        </w:rPr>
        <w:t>工作能力再强化</w:t>
      </w:r>
      <w:r>
        <w:rPr>
          <w:rStyle w:val="8"/>
          <w:rFonts w:hint="default" w:ascii="Times New Roman" w:hAnsi="Times New Roman" w:eastAsia="仿宋_GB2312" w:cs="Times New Roman"/>
          <w:b/>
          <w:bCs/>
          <w:i w:val="0"/>
          <w:caps w:val="0"/>
          <w:spacing w:val="0"/>
          <w:w w:val="100"/>
          <w:sz w:val="32"/>
          <w:szCs w:val="32"/>
          <w:lang w:val="en-US" w:eastAsia="zh-CN"/>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积极参加政府信息与政务公开培训，组织学习《中华人民共和国政府信息公开条例》《信息保密制度》</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信息安全等规范文件资料，准确理解掌握《条例》等相关规定，并应用于实际工作中，切实增强公开意识和能力，做到思想自觉和行动自觉。</w:t>
      </w:r>
      <w:r>
        <w:rPr>
          <w:rStyle w:val="8"/>
          <w:rFonts w:hint="default" w:ascii="Times New Roman" w:hAnsi="Times New Roman" w:eastAsia="仿宋_GB2312" w:cs="Times New Roman"/>
          <w:b/>
          <w:bCs/>
          <w:i w:val="0"/>
          <w:caps w:val="0"/>
          <w:spacing w:val="0"/>
          <w:w w:val="100"/>
          <w:sz w:val="32"/>
          <w:szCs w:val="32"/>
          <w:lang w:val="en-US" w:eastAsia="zh-CN"/>
        </w:rPr>
        <w:t>四是奖惩</w:t>
      </w:r>
      <w:r>
        <w:rPr>
          <w:rStyle w:val="8"/>
          <w:rFonts w:hint="default" w:ascii="Times New Roman" w:hAnsi="Times New Roman" w:eastAsia="仿宋_GB2312" w:cs="Times New Roman"/>
          <w:b/>
          <w:bCs/>
          <w:i w:val="0"/>
          <w:caps w:val="0"/>
          <w:spacing w:val="0"/>
          <w:w w:val="100"/>
          <w:sz w:val="32"/>
          <w:szCs w:val="32"/>
          <w:lang w:val="en-US" w:eastAsia="zh-CN"/>
        </w:rPr>
        <w:t>机制再完善</w:t>
      </w:r>
      <w:r>
        <w:rPr>
          <w:rStyle w:val="8"/>
          <w:rFonts w:hint="default" w:ascii="Times New Roman" w:hAnsi="Times New Roman" w:eastAsia="仿宋_GB2312" w:cs="Times New Roman"/>
          <w:b/>
          <w:bCs/>
          <w:i w:val="0"/>
          <w:caps w:val="0"/>
          <w:spacing w:val="0"/>
          <w:w w:val="100"/>
          <w:sz w:val="32"/>
          <w:szCs w:val="32"/>
          <w:lang w:val="en-US" w:eastAsia="zh-CN"/>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坚持将政府信息公开工作与其他工作纳入</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全区</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年度重点工作，</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优化</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考核考评机制，将考核考评结果作为部门及相关人员工作实绩的重要依据，确保严格依法依规公开。</w:t>
      </w:r>
    </w:p>
    <w:p w14:paraId="756C364E">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43"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Style w:val="8"/>
          <w:rFonts w:hint="default" w:ascii="Times New Roman" w:hAnsi="Times New Roman" w:eastAsia="楷体_GB2312" w:cs="Times New Roman"/>
          <w:b/>
          <w:bCs/>
          <w:i w:val="0"/>
          <w:caps w:val="0"/>
          <w:spacing w:val="0"/>
          <w:w w:val="100"/>
          <w:sz w:val="32"/>
          <w:szCs w:val="32"/>
          <w:lang w:val="en-US" w:eastAsia="zh-CN"/>
        </w:rPr>
        <w:t>（二）</w:t>
      </w:r>
      <w:r>
        <w:rPr>
          <w:rStyle w:val="8"/>
          <w:rFonts w:hint="default" w:ascii="Times New Roman" w:hAnsi="Times New Roman" w:eastAsia="楷体_GB2312" w:cs="Times New Roman"/>
          <w:b/>
          <w:bCs/>
          <w:i w:val="0"/>
          <w:caps w:val="0"/>
          <w:spacing w:val="0"/>
          <w:w w:val="100"/>
          <w:sz w:val="32"/>
          <w:szCs w:val="32"/>
          <w:lang w:val="en-US" w:eastAsia="zh-CN"/>
        </w:rPr>
        <w:t>以更加新颖的形式推进政府信息公开。</w:t>
      </w:r>
      <w:r>
        <w:rPr>
          <w:rStyle w:val="8"/>
          <w:rFonts w:hint="default" w:ascii="Times New Roman" w:hAnsi="Times New Roman" w:eastAsia="仿宋_GB2312" w:cs="Times New Roman"/>
          <w:b/>
          <w:bCs/>
          <w:i w:val="0"/>
          <w:caps w:val="0"/>
          <w:spacing w:val="0"/>
          <w:w w:val="100"/>
          <w:sz w:val="32"/>
          <w:szCs w:val="32"/>
          <w:lang w:val="en-US" w:eastAsia="zh-CN"/>
        </w:rPr>
        <w:t>一是</w:t>
      </w:r>
      <w:r>
        <w:rPr>
          <w:rStyle w:val="8"/>
          <w:rFonts w:hint="default" w:ascii="Times New Roman" w:hAnsi="Times New Roman" w:eastAsia="仿宋_GB2312" w:cs="Times New Roman"/>
          <w:b/>
          <w:bCs/>
          <w:i w:val="0"/>
          <w:caps w:val="0"/>
          <w:spacing w:val="0"/>
          <w:w w:val="100"/>
          <w:sz w:val="32"/>
          <w:szCs w:val="32"/>
          <w:lang w:val="en-US" w:eastAsia="zh-CN"/>
        </w:rPr>
        <w:t>注重信息传播的深度</w:t>
      </w:r>
      <w:r>
        <w:rPr>
          <w:rStyle w:val="8"/>
          <w:rFonts w:hint="default" w:ascii="Times New Roman" w:hAnsi="Times New Roman" w:eastAsia="仿宋_GB2312" w:cs="Times New Roman"/>
          <w:b/>
          <w:bCs/>
          <w:i w:val="0"/>
          <w:caps w:val="0"/>
          <w:spacing w:val="0"/>
          <w:w w:val="100"/>
          <w:sz w:val="32"/>
          <w:szCs w:val="32"/>
          <w:lang w:val="en-US" w:eastAsia="zh-CN"/>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对“洋口港YOCO”微信公众平台持续完善升级，致力打造成为大众认识东方大港的窗口，成为中国递向世界的一张崭新的名片。2025年，共发布各类信息300余篇，累计阅读量达到20万人次。</w:t>
      </w:r>
      <w:r>
        <w:rPr>
          <w:rStyle w:val="8"/>
          <w:rFonts w:hint="default" w:ascii="Times New Roman" w:hAnsi="Times New Roman" w:eastAsia="仿宋_GB2312" w:cs="Times New Roman"/>
          <w:b/>
          <w:bCs/>
          <w:i w:val="0"/>
          <w:caps w:val="0"/>
          <w:spacing w:val="0"/>
          <w:w w:val="100"/>
          <w:sz w:val="32"/>
          <w:szCs w:val="32"/>
          <w:lang w:val="en-US" w:eastAsia="zh-CN"/>
        </w:rPr>
        <w:t>二是</w:t>
      </w:r>
      <w:r>
        <w:rPr>
          <w:rStyle w:val="8"/>
          <w:rFonts w:hint="default" w:ascii="Times New Roman" w:hAnsi="Times New Roman" w:eastAsia="仿宋_GB2312" w:cs="Times New Roman"/>
          <w:b/>
          <w:bCs/>
          <w:i w:val="0"/>
          <w:caps w:val="0"/>
          <w:spacing w:val="0"/>
          <w:w w:val="100"/>
          <w:sz w:val="32"/>
          <w:szCs w:val="32"/>
          <w:lang w:val="en-US" w:eastAsia="zh-CN"/>
        </w:rPr>
        <w:t>拓展</w:t>
      </w:r>
      <w:r>
        <w:rPr>
          <w:rStyle w:val="8"/>
          <w:rFonts w:hint="default" w:ascii="Times New Roman" w:hAnsi="Times New Roman" w:eastAsia="仿宋_GB2312" w:cs="Times New Roman"/>
          <w:b/>
          <w:bCs/>
          <w:i w:val="0"/>
          <w:caps w:val="0"/>
          <w:spacing w:val="0"/>
          <w:w w:val="100"/>
          <w:sz w:val="32"/>
          <w:szCs w:val="32"/>
          <w:lang w:val="en-US" w:eastAsia="zh-CN"/>
        </w:rPr>
        <w:t>信息传播</w:t>
      </w:r>
      <w:r>
        <w:rPr>
          <w:rStyle w:val="8"/>
          <w:rFonts w:hint="default" w:ascii="Times New Roman" w:hAnsi="Times New Roman" w:eastAsia="仿宋_GB2312" w:cs="Times New Roman"/>
          <w:b/>
          <w:bCs/>
          <w:i w:val="0"/>
          <w:caps w:val="0"/>
          <w:spacing w:val="0"/>
          <w:w w:val="100"/>
          <w:sz w:val="32"/>
          <w:szCs w:val="32"/>
          <w:lang w:val="en-US" w:eastAsia="zh-CN"/>
        </w:rPr>
        <w:t>的广度</w:t>
      </w:r>
      <w:r>
        <w:rPr>
          <w:rStyle w:val="8"/>
          <w:rFonts w:hint="default" w:ascii="Times New Roman" w:hAnsi="Times New Roman" w:eastAsia="仿宋_GB2312" w:cs="Times New Roman"/>
          <w:b/>
          <w:bCs/>
          <w:i w:val="0"/>
          <w:caps w:val="0"/>
          <w:spacing w:val="0"/>
          <w:w w:val="100"/>
          <w:sz w:val="32"/>
          <w:szCs w:val="32"/>
          <w:lang w:val="en-US" w:eastAsia="zh-CN"/>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除政府网站、微信公众号外，顺应时代潮流，充分利用新华社，人民网，光明网，交汇点新闻，南通日报，南通电视台，江海先锋，如东新媒体，如东发布等</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媒体网络</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，深化融合传统媒体与新媒体传播优势，加大信息公开力度。</w:t>
      </w:r>
      <w:r>
        <w:rPr>
          <w:rStyle w:val="8"/>
          <w:rFonts w:hint="default" w:ascii="Times New Roman" w:hAnsi="Times New Roman" w:eastAsia="仿宋_GB2312" w:cs="Times New Roman"/>
          <w:b/>
          <w:bCs/>
          <w:i w:val="0"/>
          <w:caps w:val="0"/>
          <w:spacing w:val="0"/>
          <w:w w:val="100"/>
          <w:sz w:val="32"/>
          <w:szCs w:val="32"/>
          <w:lang w:val="en-US" w:eastAsia="zh-CN"/>
        </w:rPr>
        <w:t>三是</w:t>
      </w:r>
      <w:r>
        <w:rPr>
          <w:rStyle w:val="8"/>
          <w:rFonts w:hint="default" w:ascii="Times New Roman" w:hAnsi="Times New Roman" w:eastAsia="仿宋_GB2312" w:cs="Times New Roman"/>
          <w:b/>
          <w:bCs/>
          <w:i w:val="0"/>
          <w:caps w:val="0"/>
          <w:spacing w:val="0"/>
          <w:w w:val="100"/>
          <w:sz w:val="32"/>
          <w:szCs w:val="32"/>
          <w:lang w:val="en-US" w:eastAsia="zh-CN"/>
        </w:rPr>
        <w:t>培育信息传播的温度。</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以中国如东信息公开网站为主体，坚持分级分类公开相关信息，进一步增强信息发布以及群体需求的针对性和实效性，同时坚持高质量与高效率并存，确保及时无误发布。202</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年，</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全</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区主动公开信息</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66</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条。</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其中企业各类项目、环评等公示60条，占全部信息的90.90%，较好地满足了社会大众对重点方面的关注需求。</w:t>
      </w:r>
    </w:p>
    <w:p w14:paraId="2F3C465B">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_GB2312" w:cs="Times New Roman"/>
          <w:b/>
          <w:bCs/>
          <w:i w:val="0"/>
          <w:caps w:val="0"/>
          <w:spacing w:val="0"/>
          <w:w w:val="100"/>
          <w:sz w:val="32"/>
          <w:szCs w:val="32"/>
          <w:lang w:val="en-US" w:eastAsia="zh-CN"/>
        </w:rPr>
        <w:t>（三）</w:t>
      </w:r>
      <w:r>
        <w:rPr>
          <w:rStyle w:val="8"/>
          <w:rFonts w:hint="default" w:ascii="Times New Roman" w:hAnsi="Times New Roman" w:eastAsia="楷体_GB2312" w:cs="Times New Roman"/>
          <w:b/>
          <w:bCs/>
          <w:i w:val="0"/>
          <w:caps w:val="0"/>
          <w:spacing w:val="0"/>
          <w:w w:val="100"/>
          <w:sz w:val="32"/>
          <w:szCs w:val="32"/>
          <w:lang w:val="en-US" w:eastAsia="zh-CN"/>
        </w:rPr>
        <w:t>以更加丰富的内容推进政府信息公开。</w:t>
      </w:r>
      <w:r>
        <w:rPr>
          <w:rStyle w:val="8"/>
          <w:rFonts w:hint="default" w:ascii="Times New Roman" w:hAnsi="Times New Roman" w:eastAsia="仿宋_GB2312" w:cs="Times New Roman"/>
          <w:b/>
          <w:bCs/>
          <w:i w:val="0"/>
          <w:caps w:val="0"/>
          <w:spacing w:val="0"/>
          <w:w w:val="100"/>
          <w:sz w:val="32"/>
          <w:szCs w:val="32"/>
          <w:lang w:val="en-US" w:eastAsia="zh-CN"/>
        </w:rPr>
        <w:t>一方面强化主业主责，</w:t>
      </w:r>
      <w:r>
        <w:rPr>
          <w:rStyle w:val="8"/>
          <w:rFonts w:hint="default" w:ascii="Times New Roman" w:hAnsi="Times New Roman" w:eastAsia="仿宋_GB2312" w:cs="Times New Roman"/>
          <w:b/>
          <w:bCs/>
          <w:i w:val="0"/>
          <w:caps w:val="0"/>
          <w:spacing w:val="0"/>
          <w:w w:val="100"/>
          <w:sz w:val="32"/>
          <w:szCs w:val="32"/>
          <w:lang w:val="en-US" w:eastAsia="zh-CN"/>
        </w:rPr>
        <w:t>突出公共交易资源信息公开。</w:t>
      </w:r>
      <w:r>
        <w:rPr>
          <w:rStyle w:val="8"/>
          <w:rFonts w:hint="default" w:ascii="Times New Roman" w:hAnsi="Times New Roman" w:eastAsia="仿宋_GB2312" w:cs="Times New Roman"/>
          <w:b/>
          <w:bCs/>
          <w:i w:val="0"/>
          <w:caps w:val="0"/>
          <w:color w:val="000000" w:themeColor="text1"/>
          <w:spacing w:val="0"/>
          <w:w w:val="10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进一步完善全区公共资源交易平台体系，全年完成公共资源交易项目（含区、区属集团公司、长沙镇、村）</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271</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个（宗），预算价约44616.8417万元，中标价约32961.4248万元，下浮率约</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26.12</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%，节约财政资金11655.4169万元</w:t>
      </w:r>
      <w:r>
        <w:rPr>
          <w:rFonts w:hint="default" w:ascii="Times New Roman" w:hAnsi="Times New Roman" w:eastAsia="仿宋_GB2312" w:cs="Times New Roman"/>
          <w:color w:val="0000FF"/>
          <w:kern w:val="0"/>
          <w:sz w:val="32"/>
          <w:szCs w:val="32"/>
          <w:lang w:val="en-US" w:eastAsia="zh-CN" w:bidi="ar-SA"/>
        </w:rPr>
        <w:t>。</w:t>
      </w:r>
      <w:r>
        <w:rPr>
          <w:rStyle w:val="8"/>
          <w:rFonts w:hint="default" w:ascii="Times New Roman" w:hAnsi="Times New Roman" w:eastAsia="仿宋_GB2312" w:cs="Times New Roman"/>
          <w:b/>
          <w:bCs/>
          <w:i w:val="0"/>
          <w:caps w:val="0"/>
          <w:spacing w:val="0"/>
          <w:w w:val="100"/>
          <w:sz w:val="32"/>
          <w:szCs w:val="32"/>
          <w:lang w:val="en-US" w:eastAsia="zh-CN"/>
        </w:rPr>
        <w:t>另一方面强化责任担当，</w:t>
      </w:r>
      <w:r>
        <w:rPr>
          <w:rStyle w:val="8"/>
          <w:rFonts w:hint="default" w:ascii="Times New Roman" w:hAnsi="Times New Roman" w:eastAsia="仿宋_GB2312" w:cs="Times New Roman"/>
          <w:b/>
          <w:bCs/>
          <w:i w:val="0"/>
          <w:caps w:val="0"/>
          <w:spacing w:val="0"/>
          <w:w w:val="100"/>
          <w:sz w:val="32"/>
          <w:szCs w:val="32"/>
          <w:lang w:val="en-US" w:eastAsia="zh-CN"/>
        </w:rPr>
        <w:t>突出“政府落实”</w:t>
      </w:r>
      <w:r>
        <w:rPr>
          <w:rStyle w:val="8"/>
          <w:rFonts w:hint="default" w:ascii="Times New Roman" w:hAnsi="Times New Roman" w:eastAsia="仿宋_GB2312" w:cs="Times New Roman"/>
          <w:b/>
          <w:bCs/>
          <w:i w:val="0"/>
          <w:caps w:val="0"/>
          <w:spacing w:val="0"/>
          <w:w w:val="100"/>
          <w:sz w:val="32"/>
          <w:szCs w:val="32"/>
          <w:lang w:val="en-US" w:eastAsia="zh-CN"/>
        </w:rPr>
        <w:t xml:space="preserve"> </w:t>
      </w:r>
      <w:r>
        <w:rPr>
          <w:rStyle w:val="8"/>
          <w:rFonts w:hint="default" w:ascii="Times New Roman" w:hAnsi="Times New Roman" w:eastAsia="仿宋_GB2312" w:cs="Times New Roman"/>
          <w:b/>
          <w:bCs/>
          <w:i w:val="0"/>
          <w:caps w:val="0"/>
          <w:spacing w:val="0"/>
          <w:w w:val="100"/>
          <w:sz w:val="32"/>
          <w:szCs w:val="32"/>
          <w:lang w:val="en-US" w:eastAsia="zh-CN"/>
        </w:rPr>
        <w:t>“民生服务”等信息公开。</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凡涉及老百姓实际关心且可以公开的问题均作为关注重点，全部如实主动公开。利用12345平台、市（县）长信箱、办公室办公电话，多形式、多渠道、全方位受理倾听群众诉求与建议。全年</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共办理人大、</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政协提案</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7</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件</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处理市（县）长信箱信件</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件</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处理县12345政府服务热线</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联动指挥平台交办件1310件，</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处理率</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均</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达到100%。</w:t>
      </w:r>
    </w:p>
    <w:p w14:paraId="7E15E60D">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二、主动公开政府信息情况</w:t>
      </w:r>
    </w:p>
    <w:tbl>
      <w:tblPr>
        <w:tblStyle w:val="6"/>
        <w:tblW w:w="8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13"/>
        <w:gridCol w:w="1875"/>
        <w:gridCol w:w="1477"/>
        <w:gridCol w:w="1675"/>
      </w:tblGrid>
      <w:tr w14:paraId="7B1D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14:paraId="0376D235">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第二十条第（一）项</w:t>
            </w:r>
          </w:p>
        </w:tc>
      </w:tr>
      <w:tr w14:paraId="4D6A9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09A94968">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14:paraId="40907E46">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color w:val="000000"/>
                <w:kern w:val="0"/>
                <w:sz w:val="20"/>
                <w:szCs w:val="20"/>
              </w:rPr>
              <w:t>本年</w:t>
            </w:r>
            <w:r>
              <w:rPr>
                <w:rFonts w:hint="default" w:ascii="Times New Roman" w:hAnsi="Times New Roman" w:cs="Times New Roman"/>
                <w:color w:val="000000"/>
                <w:kern w:val="0"/>
                <w:sz w:val="20"/>
                <w:szCs w:val="20"/>
                <w:lang w:eastAsia="zh-CN"/>
              </w:rPr>
              <w:t>制发件数</w:t>
            </w:r>
          </w:p>
        </w:tc>
        <w:tc>
          <w:tcPr>
            <w:tcW w:w="1477" w:type="dxa"/>
            <w:tcBorders>
              <w:top w:val="single" w:color="auto" w:sz="8" w:space="0"/>
              <w:left w:val="nil"/>
              <w:bottom w:val="single" w:color="auto" w:sz="8" w:space="0"/>
              <w:right w:val="single" w:color="auto" w:sz="8" w:space="0"/>
            </w:tcBorders>
            <w:tcMar>
              <w:left w:w="108" w:type="dxa"/>
              <w:right w:w="108" w:type="dxa"/>
            </w:tcMar>
            <w:vAlign w:val="center"/>
          </w:tcPr>
          <w:p w14:paraId="43D99B54">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color w:val="000000"/>
                <w:kern w:val="0"/>
                <w:sz w:val="20"/>
                <w:szCs w:val="20"/>
              </w:rPr>
              <w:t>本年</w:t>
            </w:r>
            <w:r>
              <w:rPr>
                <w:rFonts w:hint="default" w:ascii="Times New Roman" w:hAnsi="Times New Roman" w:cs="Times New Roman"/>
                <w:color w:val="000000"/>
                <w:kern w:val="0"/>
                <w:sz w:val="20"/>
                <w:szCs w:val="20"/>
                <w:lang w:eastAsia="zh-CN"/>
              </w:rPr>
              <w:t>废止件数</w:t>
            </w:r>
          </w:p>
        </w:tc>
        <w:tc>
          <w:tcPr>
            <w:tcW w:w="1675" w:type="dxa"/>
            <w:tcBorders>
              <w:top w:val="nil"/>
              <w:left w:val="nil"/>
              <w:bottom w:val="single" w:color="auto" w:sz="8" w:space="0"/>
              <w:right w:val="single" w:color="auto" w:sz="8" w:space="0"/>
            </w:tcBorders>
            <w:noWrap/>
            <w:tcMar>
              <w:left w:w="108" w:type="dxa"/>
              <w:right w:w="108" w:type="dxa"/>
            </w:tcMar>
            <w:vAlign w:val="center"/>
          </w:tcPr>
          <w:p w14:paraId="3100903E">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color w:val="000000"/>
                <w:kern w:val="0"/>
                <w:sz w:val="20"/>
                <w:szCs w:val="20"/>
                <w:lang w:eastAsia="zh-CN"/>
              </w:rPr>
              <w:t>现行有效件数</w:t>
            </w:r>
          </w:p>
        </w:tc>
      </w:tr>
      <w:tr w14:paraId="314C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31B9516B">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规章</w:t>
            </w:r>
          </w:p>
        </w:tc>
        <w:tc>
          <w:tcPr>
            <w:tcW w:w="1875" w:type="dxa"/>
            <w:tcBorders>
              <w:top w:val="nil"/>
              <w:left w:val="nil"/>
              <w:bottom w:val="single" w:color="auto" w:sz="8" w:space="0"/>
              <w:right w:val="single" w:color="auto" w:sz="8" w:space="0"/>
            </w:tcBorders>
            <w:noWrap/>
            <w:tcMar>
              <w:left w:w="108" w:type="dxa"/>
              <w:right w:w="108" w:type="dxa"/>
            </w:tcMar>
            <w:vAlign w:val="center"/>
          </w:tcPr>
          <w:p w14:paraId="2546FE4A">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 xml:space="preserve">0 </w:t>
            </w:r>
          </w:p>
        </w:tc>
        <w:tc>
          <w:tcPr>
            <w:tcW w:w="1477" w:type="dxa"/>
            <w:tcBorders>
              <w:top w:val="nil"/>
              <w:left w:val="nil"/>
              <w:bottom w:val="single" w:color="auto" w:sz="8" w:space="0"/>
              <w:right w:val="single" w:color="auto" w:sz="8" w:space="0"/>
            </w:tcBorders>
            <w:tcMar>
              <w:left w:w="108" w:type="dxa"/>
              <w:right w:w="108" w:type="dxa"/>
            </w:tcMar>
            <w:vAlign w:val="center"/>
          </w:tcPr>
          <w:p w14:paraId="5C02C36D">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 xml:space="preserve"> 0</w:t>
            </w:r>
          </w:p>
        </w:tc>
        <w:tc>
          <w:tcPr>
            <w:tcW w:w="1675" w:type="dxa"/>
            <w:tcBorders>
              <w:top w:val="nil"/>
              <w:left w:val="nil"/>
              <w:bottom w:val="single" w:color="auto" w:sz="8" w:space="0"/>
              <w:right w:val="single" w:color="auto" w:sz="8" w:space="0"/>
            </w:tcBorders>
            <w:noWrap/>
            <w:tcMar>
              <w:left w:w="108" w:type="dxa"/>
              <w:right w:w="108" w:type="dxa"/>
            </w:tcMar>
            <w:vAlign w:val="center"/>
          </w:tcPr>
          <w:p w14:paraId="4299F82B">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 xml:space="preserve">0 </w:t>
            </w:r>
          </w:p>
        </w:tc>
      </w:tr>
      <w:tr w14:paraId="4D20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5F2AB18A">
            <w:pPr>
              <w:widowControl/>
              <w:jc w:val="left"/>
              <w:rPr>
                <w:rFonts w:hint="default" w:ascii="Times New Roman" w:hAnsi="Times New Roman" w:eastAsia="宋体" w:cs="Times New Roman"/>
                <w:kern w:val="0"/>
                <w:sz w:val="24"/>
                <w:szCs w:val="24"/>
              </w:rPr>
            </w:pPr>
            <w:r>
              <w:rPr>
                <w:rFonts w:hint="default" w:ascii="Times New Roman" w:hAnsi="Times New Roman" w:cs="Times New Roman"/>
                <w:color w:val="000000"/>
                <w:kern w:val="0"/>
                <w:sz w:val="20"/>
                <w:szCs w:val="20"/>
                <w:lang w:eastAsia="zh-CN"/>
              </w:rPr>
              <w:t>行政</w:t>
            </w:r>
            <w:r>
              <w:rPr>
                <w:rFonts w:hint="default" w:ascii="Times New Roman" w:hAnsi="Times New Roman" w:eastAsia="宋体" w:cs="Times New Roman"/>
                <w:color w:val="000000"/>
                <w:kern w:val="0"/>
                <w:sz w:val="20"/>
                <w:szCs w:val="20"/>
              </w:rPr>
              <w:t>规范性文件</w:t>
            </w:r>
          </w:p>
        </w:tc>
        <w:tc>
          <w:tcPr>
            <w:tcW w:w="1875" w:type="dxa"/>
            <w:tcBorders>
              <w:top w:val="nil"/>
              <w:left w:val="nil"/>
              <w:bottom w:val="single" w:color="auto" w:sz="8" w:space="0"/>
              <w:right w:val="single" w:color="auto" w:sz="8" w:space="0"/>
            </w:tcBorders>
            <w:noWrap/>
            <w:tcMar>
              <w:left w:w="108" w:type="dxa"/>
              <w:right w:w="108" w:type="dxa"/>
            </w:tcMar>
            <w:vAlign w:val="center"/>
          </w:tcPr>
          <w:p w14:paraId="0D9708BB">
            <w:pPr>
              <w:widowControl/>
              <w:jc w:val="center"/>
              <w:rPr>
                <w:rFonts w:hint="default" w:ascii="Times New Roman" w:hAnsi="Times New Roman" w:eastAsia="宋体" w:cs="Times New Roman"/>
                <w:color w:val="FF0000"/>
                <w:kern w:val="0"/>
                <w:sz w:val="24"/>
                <w:szCs w:val="24"/>
                <w:lang w:val="en-US" w:eastAsia="zh-CN"/>
              </w:rPr>
            </w:pPr>
            <w:r>
              <w:rPr>
                <w:rFonts w:hint="default" w:ascii="Times New Roman" w:hAnsi="Times New Roman" w:cs="Times New Roman"/>
                <w:kern w:val="0"/>
                <w:sz w:val="24"/>
                <w:szCs w:val="24"/>
                <w:lang w:val="en-US" w:eastAsia="zh-CN"/>
              </w:rPr>
              <w:t xml:space="preserve">0 </w:t>
            </w:r>
          </w:p>
        </w:tc>
        <w:tc>
          <w:tcPr>
            <w:tcW w:w="1477" w:type="dxa"/>
            <w:tcBorders>
              <w:top w:val="nil"/>
              <w:left w:val="nil"/>
              <w:bottom w:val="single" w:color="auto" w:sz="8" w:space="0"/>
              <w:right w:val="single" w:color="auto" w:sz="8" w:space="0"/>
            </w:tcBorders>
            <w:tcMar>
              <w:left w:w="108" w:type="dxa"/>
              <w:right w:w="108" w:type="dxa"/>
            </w:tcMar>
            <w:vAlign w:val="center"/>
          </w:tcPr>
          <w:p w14:paraId="0DB58442">
            <w:pPr>
              <w:widowControl/>
              <w:jc w:val="center"/>
              <w:rPr>
                <w:rFonts w:hint="default" w:ascii="Times New Roman" w:hAnsi="Times New Roman" w:eastAsia="宋体" w:cs="Times New Roman"/>
                <w:color w:val="FF0000"/>
                <w:kern w:val="0"/>
                <w:sz w:val="24"/>
                <w:szCs w:val="24"/>
                <w:lang w:val="en-US" w:eastAsia="zh-CN"/>
              </w:rPr>
            </w:pPr>
            <w:r>
              <w:rPr>
                <w:rFonts w:hint="default" w:ascii="Times New Roman" w:hAnsi="Times New Roman" w:cs="Times New Roman"/>
                <w:kern w:val="0"/>
                <w:sz w:val="24"/>
                <w:szCs w:val="24"/>
                <w:lang w:val="en-US" w:eastAsia="zh-CN"/>
              </w:rPr>
              <w:t xml:space="preserve"> 0</w:t>
            </w:r>
          </w:p>
        </w:tc>
        <w:tc>
          <w:tcPr>
            <w:tcW w:w="1675" w:type="dxa"/>
            <w:tcBorders>
              <w:top w:val="nil"/>
              <w:left w:val="nil"/>
              <w:bottom w:val="single" w:color="auto" w:sz="8" w:space="0"/>
              <w:right w:val="single" w:color="auto" w:sz="8" w:space="0"/>
            </w:tcBorders>
            <w:noWrap/>
            <w:tcMar>
              <w:left w:w="108" w:type="dxa"/>
              <w:right w:w="108" w:type="dxa"/>
            </w:tcMar>
            <w:vAlign w:val="center"/>
          </w:tcPr>
          <w:p w14:paraId="39863AB4">
            <w:pPr>
              <w:widowControl/>
              <w:jc w:val="center"/>
              <w:rPr>
                <w:rFonts w:hint="default" w:ascii="Times New Roman" w:hAnsi="Times New Roman" w:eastAsia="宋体" w:cs="Times New Roman"/>
                <w:color w:val="FF0000"/>
                <w:kern w:val="0"/>
                <w:sz w:val="24"/>
                <w:szCs w:val="24"/>
                <w:lang w:val="en-US" w:eastAsia="zh-CN"/>
              </w:rPr>
            </w:pPr>
            <w:r>
              <w:rPr>
                <w:rFonts w:hint="default" w:ascii="Times New Roman" w:hAnsi="Times New Roman" w:cs="Times New Roman"/>
                <w:kern w:val="0"/>
                <w:sz w:val="24"/>
                <w:szCs w:val="24"/>
                <w:lang w:val="en-US" w:eastAsia="zh-CN"/>
              </w:rPr>
              <w:t xml:space="preserve">0 </w:t>
            </w:r>
          </w:p>
        </w:tc>
      </w:tr>
      <w:tr w14:paraId="18012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1A20A706">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第二十条第（五）项</w:t>
            </w:r>
          </w:p>
        </w:tc>
      </w:tr>
      <w:tr w14:paraId="1EC1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25CE9805">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信息内容</w:t>
            </w:r>
          </w:p>
        </w:tc>
        <w:tc>
          <w:tcPr>
            <w:tcW w:w="5027" w:type="dxa"/>
            <w:gridSpan w:val="3"/>
            <w:tcBorders>
              <w:top w:val="single" w:color="auto" w:sz="8" w:space="0"/>
              <w:left w:val="nil"/>
              <w:bottom w:val="single" w:color="auto" w:sz="8" w:space="0"/>
              <w:right w:val="single" w:color="auto" w:sz="8" w:space="0"/>
            </w:tcBorders>
            <w:noWrap/>
            <w:tcMar>
              <w:left w:w="108" w:type="dxa"/>
              <w:right w:w="108" w:type="dxa"/>
            </w:tcMar>
            <w:vAlign w:val="center"/>
          </w:tcPr>
          <w:p w14:paraId="4C71FA84">
            <w:pPr>
              <w:widowControl/>
              <w:jc w:val="center"/>
              <w:rPr>
                <w:rFonts w:hint="default" w:ascii="Times New Roman" w:hAnsi="Times New Roman" w:eastAsia="宋体" w:cs="Times New Roman"/>
                <w:kern w:val="0"/>
                <w:sz w:val="24"/>
                <w:szCs w:val="24"/>
              </w:rPr>
            </w:pPr>
            <w:r>
              <w:rPr>
                <w:rFonts w:hint="default" w:ascii="Times New Roman" w:hAnsi="Times New Roman" w:cs="Times New Roman"/>
                <w:color w:val="000000"/>
                <w:kern w:val="0"/>
                <w:sz w:val="20"/>
                <w:szCs w:val="20"/>
                <w:lang w:eastAsia="zh-CN"/>
              </w:rPr>
              <w:t>本年</w:t>
            </w:r>
            <w:r>
              <w:rPr>
                <w:rFonts w:hint="default" w:ascii="Times New Roman" w:hAnsi="Times New Roman" w:eastAsia="宋体" w:cs="Times New Roman"/>
                <w:color w:val="000000"/>
                <w:kern w:val="0"/>
                <w:sz w:val="20"/>
                <w:szCs w:val="20"/>
              </w:rPr>
              <w:t>处理决定数量</w:t>
            </w:r>
          </w:p>
        </w:tc>
      </w:tr>
      <w:tr w14:paraId="7DE7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07F331AB">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行政许可</w:t>
            </w:r>
          </w:p>
        </w:tc>
        <w:tc>
          <w:tcPr>
            <w:tcW w:w="5027" w:type="dxa"/>
            <w:gridSpan w:val="3"/>
            <w:tcBorders>
              <w:top w:val="nil"/>
              <w:left w:val="nil"/>
              <w:bottom w:val="single" w:color="auto" w:sz="8" w:space="0"/>
              <w:right w:val="single" w:color="auto" w:sz="8" w:space="0"/>
            </w:tcBorders>
            <w:noWrap/>
            <w:tcMar>
              <w:left w:w="108" w:type="dxa"/>
              <w:right w:w="108" w:type="dxa"/>
            </w:tcMar>
            <w:vAlign w:val="center"/>
          </w:tcPr>
          <w:p w14:paraId="66590273">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 xml:space="preserve">   0   </w:t>
            </w:r>
          </w:p>
        </w:tc>
      </w:tr>
      <w:tr w14:paraId="2855C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0DE2B6F6">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第二十条第（六）项</w:t>
            </w:r>
          </w:p>
        </w:tc>
      </w:tr>
      <w:tr w14:paraId="28A4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14992ADE">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信息内容</w:t>
            </w:r>
          </w:p>
        </w:tc>
        <w:tc>
          <w:tcPr>
            <w:tcW w:w="5027" w:type="dxa"/>
            <w:gridSpan w:val="3"/>
            <w:tcBorders>
              <w:top w:val="single" w:color="auto" w:sz="8" w:space="0"/>
              <w:left w:val="nil"/>
              <w:bottom w:val="single" w:color="auto" w:sz="8" w:space="0"/>
              <w:right w:val="single" w:color="auto" w:sz="8" w:space="0"/>
            </w:tcBorders>
            <w:noWrap/>
            <w:tcMar>
              <w:left w:w="108" w:type="dxa"/>
              <w:right w:w="108" w:type="dxa"/>
            </w:tcMar>
            <w:vAlign w:val="center"/>
          </w:tcPr>
          <w:p w14:paraId="78EC87EB">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本年处理决定数量</w:t>
            </w:r>
          </w:p>
        </w:tc>
      </w:tr>
      <w:tr w14:paraId="2D4B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71863BAE">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行政处罚</w:t>
            </w:r>
          </w:p>
        </w:tc>
        <w:tc>
          <w:tcPr>
            <w:tcW w:w="5027" w:type="dxa"/>
            <w:gridSpan w:val="3"/>
            <w:tcBorders>
              <w:top w:val="nil"/>
              <w:left w:val="nil"/>
              <w:bottom w:val="single" w:color="auto" w:sz="8" w:space="0"/>
              <w:right w:val="single" w:color="auto" w:sz="8" w:space="0"/>
            </w:tcBorders>
            <w:noWrap/>
            <w:tcMar>
              <w:left w:w="108" w:type="dxa"/>
              <w:right w:w="108" w:type="dxa"/>
            </w:tcMar>
            <w:vAlign w:val="center"/>
          </w:tcPr>
          <w:p w14:paraId="5A7A805F">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1</w:t>
            </w:r>
          </w:p>
        </w:tc>
      </w:tr>
      <w:tr w14:paraId="5F06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6727E489">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行政强制</w:t>
            </w:r>
          </w:p>
        </w:tc>
        <w:tc>
          <w:tcPr>
            <w:tcW w:w="5027" w:type="dxa"/>
            <w:gridSpan w:val="3"/>
            <w:tcBorders>
              <w:top w:val="nil"/>
              <w:left w:val="nil"/>
              <w:bottom w:val="single" w:color="auto" w:sz="8" w:space="0"/>
              <w:right w:val="single" w:color="auto" w:sz="8" w:space="0"/>
            </w:tcBorders>
            <w:noWrap/>
            <w:tcMar>
              <w:left w:w="108" w:type="dxa"/>
              <w:right w:w="108" w:type="dxa"/>
            </w:tcMar>
            <w:vAlign w:val="center"/>
          </w:tcPr>
          <w:p w14:paraId="56E434A8">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0</w:t>
            </w:r>
          </w:p>
        </w:tc>
      </w:tr>
      <w:tr w14:paraId="16CD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70316F9B">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第二十条第（八）项</w:t>
            </w:r>
          </w:p>
        </w:tc>
      </w:tr>
      <w:tr w14:paraId="6924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6EA18841">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信息内容</w:t>
            </w:r>
          </w:p>
        </w:tc>
        <w:tc>
          <w:tcPr>
            <w:tcW w:w="5027" w:type="dxa"/>
            <w:gridSpan w:val="3"/>
            <w:tcBorders>
              <w:top w:val="nil"/>
              <w:left w:val="nil"/>
              <w:bottom w:val="single" w:color="auto" w:sz="8" w:space="0"/>
              <w:right w:val="single" w:color="000000" w:sz="8" w:space="0"/>
            </w:tcBorders>
            <w:noWrap/>
            <w:tcMar>
              <w:left w:w="108" w:type="dxa"/>
              <w:right w:w="108" w:type="dxa"/>
            </w:tcMar>
            <w:vAlign w:val="center"/>
          </w:tcPr>
          <w:p w14:paraId="2C583DCE">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color w:val="000000"/>
                <w:kern w:val="0"/>
                <w:sz w:val="20"/>
                <w:szCs w:val="20"/>
                <w:lang w:eastAsia="zh-CN"/>
              </w:rPr>
              <w:t>本年收费金额（单位：万元）</w:t>
            </w:r>
          </w:p>
        </w:tc>
      </w:tr>
      <w:tr w14:paraId="72BF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14:paraId="3D7DE54A">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行政事业性收费</w:t>
            </w:r>
          </w:p>
        </w:tc>
        <w:tc>
          <w:tcPr>
            <w:tcW w:w="5027" w:type="dxa"/>
            <w:gridSpan w:val="3"/>
            <w:tcBorders>
              <w:top w:val="nil"/>
              <w:left w:val="nil"/>
              <w:bottom w:val="single" w:color="auto" w:sz="8" w:space="0"/>
              <w:right w:val="single" w:color="000000" w:sz="8" w:space="0"/>
            </w:tcBorders>
            <w:noWrap/>
            <w:tcMar>
              <w:left w:w="108" w:type="dxa"/>
              <w:right w:w="108" w:type="dxa"/>
            </w:tcMar>
            <w:vAlign w:val="center"/>
          </w:tcPr>
          <w:p w14:paraId="553072CF">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0</w:t>
            </w:r>
          </w:p>
        </w:tc>
      </w:tr>
    </w:tbl>
    <w:p w14:paraId="66D819B2">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三、收到和处理政府信息公开申请情况</w:t>
      </w:r>
    </w:p>
    <w:tbl>
      <w:tblPr>
        <w:tblStyle w:val="6"/>
        <w:tblW w:w="93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16"/>
        <w:gridCol w:w="816"/>
        <w:gridCol w:w="2426"/>
        <w:gridCol w:w="521"/>
        <w:gridCol w:w="827"/>
        <w:gridCol w:w="828"/>
        <w:gridCol w:w="828"/>
        <w:gridCol w:w="828"/>
        <w:gridCol w:w="828"/>
        <w:gridCol w:w="828"/>
      </w:tblGrid>
      <w:tr w14:paraId="54FA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58" w:type="dxa"/>
            <w:gridSpan w:val="3"/>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FC06DF8">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（本列数据的勾稽关系为：第一项加第二项之和，等于第三项加第四项之和）</w:t>
            </w:r>
          </w:p>
        </w:tc>
        <w:tc>
          <w:tcPr>
            <w:tcW w:w="5488" w:type="dxa"/>
            <w:gridSpan w:val="7"/>
            <w:tcBorders>
              <w:top w:val="single" w:color="auto" w:sz="8" w:space="0"/>
              <w:left w:val="nil"/>
              <w:bottom w:val="single" w:color="auto" w:sz="8" w:space="0"/>
              <w:right w:val="single" w:color="auto" w:sz="8" w:space="0"/>
            </w:tcBorders>
            <w:tcMar>
              <w:left w:w="108" w:type="dxa"/>
              <w:right w:w="108" w:type="dxa"/>
            </w:tcMar>
            <w:vAlign w:val="center"/>
          </w:tcPr>
          <w:p w14:paraId="6E30AA75">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申请人情况</w:t>
            </w:r>
          </w:p>
        </w:tc>
      </w:tr>
      <w:tr w14:paraId="6D75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58" w:type="dxa"/>
            <w:gridSpan w:val="3"/>
            <w:vMerge w:val="continue"/>
            <w:tcBorders>
              <w:top w:val="single" w:color="auto" w:sz="8" w:space="0"/>
              <w:left w:val="single" w:color="auto" w:sz="8" w:space="0"/>
              <w:bottom w:val="single" w:color="auto" w:sz="8" w:space="0"/>
              <w:right w:val="single" w:color="auto" w:sz="8" w:space="0"/>
            </w:tcBorders>
            <w:vAlign w:val="center"/>
          </w:tcPr>
          <w:p w14:paraId="4ED06C30">
            <w:pPr>
              <w:rPr>
                <w:rFonts w:hint="default" w:ascii="Times New Roman" w:hAnsi="Times New Roman" w:cs="Times New Roman"/>
              </w:rPr>
            </w:pPr>
          </w:p>
        </w:tc>
        <w:tc>
          <w:tcPr>
            <w:tcW w:w="521" w:type="dxa"/>
            <w:vMerge w:val="restart"/>
            <w:tcBorders>
              <w:top w:val="nil"/>
              <w:left w:val="nil"/>
              <w:bottom w:val="single" w:color="auto" w:sz="8" w:space="0"/>
              <w:right w:val="single" w:color="auto" w:sz="8" w:space="0"/>
            </w:tcBorders>
            <w:tcMar>
              <w:left w:w="108" w:type="dxa"/>
              <w:right w:w="108" w:type="dxa"/>
            </w:tcMar>
            <w:vAlign w:val="center"/>
          </w:tcPr>
          <w:p w14:paraId="580616D7">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自然人</w:t>
            </w:r>
          </w:p>
        </w:tc>
        <w:tc>
          <w:tcPr>
            <w:tcW w:w="4139"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0BE7C1BA">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法人或其他组织</w:t>
            </w:r>
          </w:p>
        </w:tc>
        <w:tc>
          <w:tcPr>
            <w:tcW w:w="828"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2207C20C">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总计</w:t>
            </w:r>
          </w:p>
        </w:tc>
      </w:tr>
      <w:tr w14:paraId="7F9EA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58" w:type="dxa"/>
            <w:gridSpan w:val="3"/>
            <w:vMerge w:val="continue"/>
            <w:tcBorders>
              <w:top w:val="single" w:color="auto" w:sz="8" w:space="0"/>
              <w:left w:val="single" w:color="auto" w:sz="8" w:space="0"/>
              <w:bottom w:val="single" w:color="auto" w:sz="8" w:space="0"/>
              <w:right w:val="single" w:color="auto" w:sz="8" w:space="0"/>
            </w:tcBorders>
            <w:vAlign w:val="center"/>
          </w:tcPr>
          <w:p w14:paraId="10EFA926">
            <w:pPr>
              <w:rPr>
                <w:rFonts w:hint="default" w:ascii="Times New Roman" w:hAnsi="Times New Roman" w:cs="Times New Roman"/>
              </w:rPr>
            </w:pPr>
          </w:p>
        </w:tc>
        <w:tc>
          <w:tcPr>
            <w:tcW w:w="521" w:type="dxa"/>
            <w:vMerge w:val="continue"/>
            <w:tcBorders>
              <w:top w:val="nil"/>
              <w:left w:val="nil"/>
              <w:bottom w:val="single" w:color="auto" w:sz="8" w:space="0"/>
              <w:right w:val="single" w:color="auto" w:sz="8" w:space="0"/>
            </w:tcBorders>
            <w:vAlign w:val="center"/>
          </w:tcPr>
          <w:p w14:paraId="4E771EF9">
            <w:pPr>
              <w:rPr>
                <w:rFonts w:hint="default" w:ascii="Times New Roman" w:hAnsi="Times New Roman" w:cs="Times New Roman"/>
              </w:rPr>
            </w:pPr>
          </w:p>
        </w:tc>
        <w:tc>
          <w:tcPr>
            <w:tcW w:w="827" w:type="dxa"/>
            <w:tcBorders>
              <w:top w:val="nil"/>
              <w:left w:val="nil"/>
              <w:bottom w:val="single" w:color="auto" w:sz="8" w:space="0"/>
              <w:right w:val="single" w:color="auto" w:sz="8" w:space="0"/>
            </w:tcBorders>
            <w:tcMar>
              <w:left w:w="108" w:type="dxa"/>
              <w:right w:w="108" w:type="dxa"/>
            </w:tcMar>
            <w:vAlign w:val="center"/>
          </w:tcPr>
          <w:p w14:paraId="703EBB57">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商业 企业</w:t>
            </w:r>
          </w:p>
        </w:tc>
        <w:tc>
          <w:tcPr>
            <w:tcW w:w="828" w:type="dxa"/>
            <w:tcBorders>
              <w:top w:val="nil"/>
              <w:left w:val="nil"/>
              <w:bottom w:val="single" w:color="auto" w:sz="8" w:space="0"/>
              <w:right w:val="single" w:color="auto" w:sz="8" w:space="0"/>
            </w:tcBorders>
            <w:tcMar>
              <w:left w:w="108" w:type="dxa"/>
              <w:right w:w="108" w:type="dxa"/>
            </w:tcMar>
            <w:vAlign w:val="center"/>
          </w:tcPr>
          <w:p w14:paraId="036A1640">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科研 机构</w:t>
            </w:r>
          </w:p>
        </w:tc>
        <w:tc>
          <w:tcPr>
            <w:tcW w:w="828" w:type="dxa"/>
            <w:tcBorders>
              <w:top w:val="single" w:color="auto" w:sz="8" w:space="0"/>
              <w:left w:val="nil"/>
              <w:bottom w:val="single" w:color="auto" w:sz="8" w:space="0"/>
              <w:right w:val="single" w:color="auto" w:sz="8" w:space="0"/>
            </w:tcBorders>
            <w:tcMar>
              <w:left w:w="108" w:type="dxa"/>
              <w:right w:w="108" w:type="dxa"/>
            </w:tcMar>
            <w:vAlign w:val="center"/>
          </w:tcPr>
          <w:p w14:paraId="1EAD18EB">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社会公益组织</w:t>
            </w:r>
          </w:p>
        </w:tc>
        <w:tc>
          <w:tcPr>
            <w:tcW w:w="828" w:type="dxa"/>
            <w:tcBorders>
              <w:top w:val="single" w:color="auto" w:sz="8" w:space="0"/>
              <w:left w:val="nil"/>
              <w:bottom w:val="single" w:color="auto" w:sz="8" w:space="0"/>
              <w:right w:val="single" w:color="auto" w:sz="8" w:space="0"/>
            </w:tcBorders>
            <w:tcMar>
              <w:left w:w="108" w:type="dxa"/>
              <w:right w:w="108" w:type="dxa"/>
            </w:tcMar>
            <w:vAlign w:val="center"/>
          </w:tcPr>
          <w:p w14:paraId="77E193B2">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法律服务机构</w:t>
            </w:r>
          </w:p>
        </w:tc>
        <w:tc>
          <w:tcPr>
            <w:tcW w:w="828" w:type="dxa"/>
            <w:tcBorders>
              <w:top w:val="single" w:color="auto" w:sz="8" w:space="0"/>
              <w:left w:val="nil"/>
              <w:bottom w:val="single" w:color="auto" w:sz="8" w:space="0"/>
              <w:right w:val="single" w:color="auto" w:sz="8" w:space="0"/>
            </w:tcBorders>
            <w:tcMar>
              <w:left w:w="108" w:type="dxa"/>
              <w:right w:w="108" w:type="dxa"/>
            </w:tcMar>
            <w:vAlign w:val="center"/>
          </w:tcPr>
          <w:p w14:paraId="7C50C3A8">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其他</w:t>
            </w:r>
          </w:p>
        </w:tc>
        <w:tc>
          <w:tcPr>
            <w:tcW w:w="828" w:type="dxa"/>
            <w:vMerge w:val="continue"/>
            <w:tcBorders>
              <w:top w:val="single" w:color="auto" w:sz="8" w:space="0"/>
              <w:left w:val="nil"/>
              <w:bottom w:val="single" w:color="auto" w:sz="8" w:space="0"/>
              <w:right w:val="single" w:color="auto" w:sz="8" w:space="0"/>
            </w:tcBorders>
            <w:vAlign w:val="center"/>
          </w:tcPr>
          <w:p w14:paraId="31955C76">
            <w:pPr>
              <w:rPr>
                <w:rFonts w:hint="default" w:ascii="Times New Roman" w:hAnsi="Times New Roman" w:cs="Times New Roman"/>
              </w:rPr>
            </w:pPr>
          </w:p>
        </w:tc>
      </w:tr>
      <w:tr w14:paraId="734E9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58" w:type="dxa"/>
            <w:gridSpan w:val="3"/>
            <w:tcBorders>
              <w:top w:val="nil"/>
              <w:left w:val="single" w:color="auto" w:sz="8" w:space="0"/>
              <w:bottom w:val="single" w:color="auto" w:sz="8" w:space="0"/>
              <w:right w:val="single" w:color="auto" w:sz="8" w:space="0"/>
            </w:tcBorders>
            <w:tcMar>
              <w:left w:w="108" w:type="dxa"/>
              <w:right w:w="108" w:type="dxa"/>
            </w:tcMar>
            <w:vAlign w:val="center"/>
          </w:tcPr>
          <w:p w14:paraId="62802D47">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一、本年新收政府信息公开申请数量</w:t>
            </w:r>
          </w:p>
        </w:tc>
        <w:tc>
          <w:tcPr>
            <w:tcW w:w="521" w:type="dxa"/>
            <w:tcBorders>
              <w:top w:val="nil"/>
              <w:left w:val="nil"/>
              <w:bottom w:val="single" w:color="auto" w:sz="8" w:space="0"/>
              <w:right w:val="single" w:color="auto" w:sz="8" w:space="0"/>
            </w:tcBorders>
            <w:tcMar>
              <w:left w:w="108" w:type="dxa"/>
              <w:right w:w="108" w:type="dxa"/>
            </w:tcMar>
            <w:vAlign w:val="center"/>
          </w:tcPr>
          <w:p w14:paraId="7494957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rPr>
            </w:pPr>
            <w:r>
              <w:rPr>
                <w:rFonts w:hint="default" w:ascii="Times New Roman" w:hAnsi="Times New Roman" w:cs="Times New Roman"/>
                <w:kern w:val="0"/>
                <w:sz w:val="18"/>
                <w:szCs w:val="18"/>
                <w:lang w:val="en-US" w:eastAsia="zh-CN"/>
              </w:rPr>
              <w:t xml:space="preserve"> </w:t>
            </w:r>
          </w:p>
        </w:tc>
        <w:tc>
          <w:tcPr>
            <w:tcW w:w="827" w:type="dxa"/>
            <w:tcBorders>
              <w:top w:val="nil"/>
              <w:left w:val="nil"/>
              <w:bottom w:val="single" w:color="auto" w:sz="8" w:space="0"/>
              <w:right w:val="single" w:color="auto" w:sz="8" w:space="0"/>
            </w:tcBorders>
            <w:tcMar>
              <w:left w:w="108" w:type="dxa"/>
              <w:right w:w="108" w:type="dxa"/>
            </w:tcMar>
            <w:vAlign w:val="center"/>
          </w:tcPr>
          <w:p w14:paraId="2CE11C4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03D8E58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4CBD638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0D07127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5053264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1BBBBF8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r>
      <w:tr w14:paraId="431A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58" w:type="dxa"/>
            <w:gridSpan w:val="3"/>
            <w:tcBorders>
              <w:top w:val="nil"/>
              <w:left w:val="single" w:color="auto" w:sz="8" w:space="0"/>
              <w:bottom w:val="single" w:color="auto" w:sz="4" w:space="0"/>
              <w:right w:val="single" w:color="auto" w:sz="8" w:space="0"/>
            </w:tcBorders>
            <w:tcMar>
              <w:left w:w="108" w:type="dxa"/>
              <w:right w:w="108" w:type="dxa"/>
            </w:tcMar>
            <w:vAlign w:val="center"/>
          </w:tcPr>
          <w:p w14:paraId="0049EA02">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二、上年结转政府信息公开申请数量</w:t>
            </w:r>
          </w:p>
        </w:tc>
        <w:tc>
          <w:tcPr>
            <w:tcW w:w="521" w:type="dxa"/>
            <w:tcBorders>
              <w:top w:val="nil"/>
              <w:left w:val="nil"/>
              <w:bottom w:val="single" w:color="auto" w:sz="4" w:space="0"/>
              <w:right w:val="single" w:color="auto" w:sz="8" w:space="0"/>
            </w:tcBorders>
            <w:tcMar>
              <w:left w:w="108" w:type="dxa"/>
              <w:right w:w="108" w:type="dxa"/>
            </w:tcMar>
            <w:vAlign w:val="center"/>
          </w:tcPr>
          <w:p w14:paraId="2CF9E98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7" w:type="dxa"/>
            <w:tcBorders>
              <w:top w:val="nil"/>
              <w:left w:val="nil"/>
              <w:bottom w:val="single" w:color="auto" w:sz="4" w:space="0"/>
              <w:right w:val="single" w:color="auto" w:sz="8" w:space="0"/>
            </w:tcBorders>
            <w:tcMar>
              <w:left w:w="108" w:type="dxa"/>
              <w:right w:w="108" w:type="dxa"/>
            </w:tcMar>
            <w:vAlign w:val="center"/>
          </w:tcPr>
          <w:p w14:paraId="31A42F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4" w:space="0"/>
              <w:right w:val="single" w:color="auto" w:sz="8" w:space="0"/>
            </w:tcBorders>
            <w:tcMar>
              <w:left w:w="108" w:type="dxa"/>
              <w:right w:w="108" w:type="dxa"/>
            </w:tcMar>
            <w:vAlign w:val="center"/>
          </w:tcPr>
          <w:p w14:paraId="3F43E1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4" w:space="0"/>
              <w:right w:val="single" w:color="auto" w:sz="8" w:space="0"/>
            </w:tcBorders>
            <w:tcMar>
              <w:left w:w="108" w:type="dxa"/>
              <w:right w:w="108" w:type="dxa"/>
            </w:tcMar>
            <w:vAlign w:val="center"/>
          </w:tcPr>
          <w:p w14:paraId="6F400F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4" w:space="0"/>
              <w:right w:val="single" w:color="auto" w:sz="8" w:space="0"/>
            </w:tcBorders>
            <w:tcMar>
              <w:left w:w="108" w:type="dxa"/>
              <w:right w:w="108" w:type="dxa"/>
            </w:tcMar>
            <w:vAlign w:val="center"/>
          </w:tcPr>
          <w:p w14:paraId="34BF17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0DE2A3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78CFB4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rPr>
              <w:t xml:space="preserve"> </w:t>
            </w:r>
          </w:p>
        </w:tc>
      </w:tr>
      <w:tr w14:paraId="1924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6"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DC3A8D0">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三、本年度办理结果</w:t>
            </w:r>
          </w:p>
        </w:tc>
        <w:tc>
          <w:tcPr>
            <w:tcW w:w="3242"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2051826">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（一）予以公开</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2FCD40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7302AF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62684A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193148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94C907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38BDA0C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8" w:space="0"/>
              <w:left w:val="nil"/>
              <w:bottom w:val="single" w:color="auto" w:sz="8" w:space="0"/>
              <w:right w:val="single" w:color="auto" w:sz="8" w:space="0"/>
            </w:tcBorders>
            <w:tcMar>
              <w:left w:w="108" w:type="dxa"/>
              <w:right w:w="108" w:type="dxa"/>
            </w:tcMar>
            <w:vAlign w:val="center"/>
          </w:tcPr>
          <w:p w14:paraId="027F0D1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r>
      <w:tr w14:paraId="1E59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9"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7B252B46">
            <w:pPr>
              <w:rPr>
                <w:rFonts w:hint="default" w:ascii="Times New Roman" w:hAnsi="Times New Roman" w:cs="Times New Roman"/>
              </w:rPr>
            </w:pPr>
          </w:p>
        </w:tc>
        <w:tc>
          <w:tcPr>
            <w:tcW w:w="3242"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617198A">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（二）部分公开（区分处理的，只计这一情形，不计其他情形）</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7CD5CD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940A40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851B39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202556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F3BA31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5C10FCE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2056EDB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r>
      <w:tr w14:paraId="2287E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07276879">
            <w:pPr>
              <w:rPr>
                <w:rFonts w:hint="default" w:ascii="Times New Roman" w:hAnsi="Times New Roman" w:cs="Times New Roman"/>
              </w:rPr>
            </w:pPr>
          </w:p>
        </w:tc>
        <w:tc>
          <w:tcPr>
            <w:tcW w:w="816"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A919CB">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（三）不予公开</w:t>
            </w:r>
          </w:p>
        </w:tc>
        <w:tc>
          <w:tcPr>
            <w:tcW w:w="2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D66CCFA">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1.属于国家秘密</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9F48C5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ED685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C7C896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BD8C20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B8324F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5B3FDD1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8" w:space="0"/>
              <w:left w:val="nil"/>
              <w:bottom w:val="single" w:color="auto" w:sz="8" w:space="0"/>
              <w:right w:val="single" w:color="auto" w:sz="8" w:space="0"/>
            </w:tcBorders>
            <w:tcMar>
              <w:left w:w="108" w:type="dxa"/>
              <w:right w:w="108" w:type="dxa"/>
            </w:tcMar>
            <w:vAlign w:val="center"/>
          </w:tcPr>
          <w:p w14:paraId="5B3137E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r>
      <w:tr w14:paraId="14573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63ABEF71">
            <w:pPr>
              <w:rPr>
                <w:rFonts w:hint="default" w:ascii="Times New Roman" w:hAnsi="Times New Roman" w:cs="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141CDC45">
            <w:pPr>
              <w:rPr>
                <w:rFonts w:hint="default" w:ascii="Times New Roman" w:hAnsi="Times New Roman" w:cs="Times New Roman"/>
              </w:rPr>
            </w:pPr>
          </w:p>
        </w:tc>
        <w:tc>
          <w:tcPr>
            <w:tcW w:w="2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B995DBA">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2.其他法律行政法规禁止公开</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73D73D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37CF93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552AAA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EA2A4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15B336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551C3C0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38155CA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r>
      <w:tr w14:paraId="0A7D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0E89DB39">
            <w:pPr>
              <w:rPr>
                <w:rFonts w:hint="default" w:ascii="Times New Roman" w:hAnsi="Times New Roman" w:cs="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1324A620">
            <w:pPr>
              <w:rPr>
                <w:rFonts w:hint="default" w:ascii="Times New Roman" w:hAnsi="Times New Roman" w:cs="Times New Roman"/>
              </w:rPr>
            </w:pPr>
          </w:p>
        </w:tc>
        <w:tc>
          <w:tcPr>
            <w:tcW w:w="2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267875A">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3.危及“三安全一稳定”</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8712DF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EC2B9C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DFED68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68A53C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2C1B88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739315A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71E4D13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r>
      <w:tr w14:paraId="591C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02B7E667">
            <w:pPr>
              <w:rPr>
                <w:rFonts w:hint="default" w:ascii="Times New Roman" w:hAnsi="Times New Roman" w:cs="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4DC8F1A5">
            <w:pPr>
              <w:rPr>
                <w:rFonts w:hint="default" w:ascii="Times New Roman" w:hAnsi="Times New Roman" w:cs="Times New Roman"/>
              </w:rPr>
            </w:pPr>
          </w:p>
        </w:tc>
        <w:tc>
          <w:tcPr>
            <w:tcW w:w="2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6464EA2">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4.保护第三方合法权益</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5D5430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8201C1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3A5B20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84C8F8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25713E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1758B14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73B441E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r>
      <w:tr w14:paraId="4F25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4C4E743A">
            <w:pPr>
              <w:rPr>
                <w:rFonts w:hint="default" w:ascii="Times New Roman" w:hAnsi="Times New Roman" w:cs="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17BCB064">
            <w:pPr>
              <w:rPr>
                <w:rFonts w:hint="default" w:ascii="Times New Roman" w:hAnsi="Times New Roman" w:cs="Times New Roman"/>
              </w:rPr>
            </w:pPr>
          </w:p>
        </w:tc>
        <w:tc>
          <w:tcPr>
            <w:tcW w:w="2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7BC7017">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5.属于三类内部事务信息</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09C0BF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6FA4CF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F17DAC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5C878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5C63B6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59E6258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0122DD3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r>
      <w:tr w14:paraId="6154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63319940">
            <w:pPr>
              <w:rPr>
                <w:rFonts w:hint="default" w:ascii="Times New Roman" w:hAnsi="Times New Roman" w:cs="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2A9230C0">
            <w:pPr>
              <w:rPr>
                <w:rFonts w:hint="default" w:ascii="Times New Roman" w:hAnsi="Times New Roman" w:cs="Times New Roman"/>
              </w:rPr>
            </w:pPr>
          </w:p>
        </w:tc>
        <w:tc>
          <w:tcPr>
            <w:tcW w:w="2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5193ABB">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6.属于四类过程性信息</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25386B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C17679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7A5E7E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01A30E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FC4FAE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2318EF3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1DB408C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r>
      <w:tr w14:paraId="220D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1BA93B3C">
            <w:pPr>
              <w:rPr>
                <w:rFonts w:hint="default" w:ascii="Times New Roman" w:hAnsi="Times New Roman" w:cs="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58EA4B39">
            <w:pPr>
              <w:rPr>
                <w:rFonts w:hint="default" w:ascii="Times New Roman" w:hAnsi="Times New Roman" w:cs="Times New Roman"/>
              </w:rPr>
            </w:pPr>
          </w:p>
        </w:tc>
        <w:tc>
          <w:tcPr>
            <w:tcW w:w="2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6A4F79F">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7.属于行政执法案卷</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E887F4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40C8F1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0C67F3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EE0A8F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8D9A61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34F1051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29D3B45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r>
      <w:tr w14:paraId="163C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7F97818A">
            <w:pPr>
              <w:rPr>
                <w:rFonts w:hint="default" w:ascii="Times New Roman" w:hAnsi="Times New Roman" w:cs="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440713AA">
            <w:pPr>
              <w:rPr>
                <w:rFonts w:hint="default" w:ascii="Times New Roman" w:hAnsi="Times New Roman" w:cs="Times New Roman"/>
              </w:rPr>
            </w:pPr>
          </w:p>
        </w:tc>
        <w:tc>
          <w:tcPr>
            <w:tcW w:w="2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C9A26E3">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8.属于行政查询事项</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D26506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A122FF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57C35A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385576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98D6FA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0A0AD05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770FFC4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r>
      <w:tr w14:paraId="6141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639FD87B">
            <w:pPr>
              <w:rPr>
                <w:rFonts w:hint="default" w:ascii="Times New Roman" w:hAnsi="Times New Roman" w:cs="Times New Roman"/>
              </w:rPr>
            </w:pPr>
          </w:p>
        </w:tc>
        <w:tc>
          <w:tcPr>
            <w:tcW w:w="816"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7DA413F">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（四）无法提供</w:t>
            </w:r>
          </w:p>
        </w:tc>
        <w:tc>
          <w:tcPr>
            <w:tcW w:w="2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FFDBDC3">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1.本机关不掌握相关政府信息</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B61A8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20DAB0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8CC9C6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6B88F7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CA1FBA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041730F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7D965DE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r>
      <w:tr w14:paraId="250A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25A4713C">
            <w:pPr>
              <w:rPr>
                <w:rFonts w:hint="default" w:ascii="Times New Roman" w:hAnsi="Times New Roman" w:cs="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7387F4E6">
            <w:pPr>
              <w:rPr>
                <w:rFonts w:hint="default" w:ascii="Times New Roman" w:hAnsi="Times New Roman" w:cs="Times New Roman"/>
              </w:rPr>
            </w:pPr>
          </w:p>
        </w:tc>
        <w:tc>
          <w:tcPr>
            <w:tcW w:w="2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8E0F8E2">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2.没有现成信息需要另行制作</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3FDD9D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AA2CA5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FCA009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1168D2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2D9ED3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6906957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715B4C1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r>
      <w:tr w14:paraId="234D4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7BEC5A52">
            <w:pPr>
              <w:rPr>
                <w:rFonts w:hint="default" w:ascii="Times New Roman" w:hAnsi="Times New Roman" w:cs="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698413AB">
            <w:pPr>
              <w:rPr>
                <w:rFonts w:hint="default" w:ascii="Times New Roman" w:hAnsi="Times New Roman" w:cs="Times New Roman"/>
              </w:rPr>
            </w:pPr>
          </w:p>
        </w:tc>
        <w:tc>
          <w:tcPr>
            <w:tcW w:w="2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BE7E3D6">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3.补正后申请内容仍不明确</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CCC383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A8A93E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D4A506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53EFF9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114373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5EEA991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25CEBA6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r>
      <w:tr w14:paraId="4E6A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5493CA71">
            <w:pPr>
              <w:rPr>
                <w:rFonts w:hint="default" w:ascii="Times New Roman" w:hAnsi="Times New Roman" w:cs="Times New Roman"/>
              </w:rPr>
            </w:pPr>
          </w:p>
        </w:tc>
        <w:tc>
          <w:tcPr>
            <w:tcW w:w="816"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5591066">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（五）不予处理</w:t>
            </w:r>
          </w:p>
        </w:tc>
        <w:tc>
          <w:tcPr>
            <w:tcW w:w="2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68B4941">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1.信访举报投诉类申请</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C1A1F9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D83E0D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751754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50CDF2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3885D3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6CCF43C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26A0942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r>
      <w:tr w14:paraId="699FD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3D5F71A0">
            <w:pPr>
              <w:rPr>
                <w:rFonts w:hint="default" w:ascii="Times New Roman" w:hAnsi="Times New Roman" w:cs="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5DB17CD4">
            <w:pPr>
              <w:rPr>
                <w:rFonts w:hint="default" w:ascii="Times New Roman" w:hAnsi="Times New Roman" w:cs="Times New Roman"/>
              </w:rPr>
            </w:pPr>
          </w:p>
        </w:tc>
        <w:tc>
          <w:tcPr>
            <w:tcW w:w="2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2F1C715">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2.重复申请</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06D748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DEA058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1A85A8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89FC21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E08CFF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1EAB29F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5CDA33D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r>
      <w:tr w14:paraId="5FB1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03F89C7F">
            <w:pPr>
              <w:rPr>
                <w:rFonts w:hint="default" w:ascii="Times New Roman" w:hAnsi="Times New Roman" w:cs="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4CF0A9F6">
            <w:pPr>
              <w:rPr>
                <w:rFonts w:hint="default" w:ascii="Times New Roman" w:hAnsi="Times New Roman" w:cs="Times New Roman"/>
              </w:rPr>
            </w:pPr>
          </w:p>
        </w:tc>
        <w:tc>
          <w:tcPr>
            <w:tcW w:w="2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292DEE6">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3.要求提供公开出版物</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96FD2B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0D8DC8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AFA780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68BFD1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A71C15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64D8ACA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7C66384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r>
      <w:tr w14:paraId="2EB8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7E536D73">
            <w:pPr>
              <w:rPr>
                <w:rFonts w:hint="default" w:ascii="Times New Roman" w:hAnsi="Times New Roman" w:cs="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7421D835">
            <w:pPr>
              <w:rPr>
                <w:rFonts w:hint="default" w:ascii="Times New Roman" w:hAnsi="Times New Roman" w:cs="Times New Roman"/>
              </w:rPr>
            </w:pPr>
          </w:p>
        </w:tc>
        <w:tc>
          <w:tcPr>
            <w:tcW w:w="2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42BFA00">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4.无正当理由大量反复申请</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DA01B0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894D08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FDE6D3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4E7592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8270B1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42BD70C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61B34BF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r>
      <w:tr w14:paraId="208F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752E744C">
            <w:pPr>
              <w:rPr>
                <w:rFonts w:hint="default" w:ascii="Times New Roman" w:hAnsi="Times New Roman" w:cs="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221FE743">
            <w:pPr>
              <w:rPr>
                <w:rFonts w:hint="default" w:ascii="Times New Roman" w:hAnsi="Times New Roman" w:cs="Times New Roman"/>
              </w:rPr>
            </w:pPr>
          </w:p>
        </w:tc>
        <w:tc>
          <w:tcPr>
            <w:tcW w:w="2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17C7C92">
            <w:pPr>
              <w:widowControl/>
              <w:jc w:val="left"/>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5.要求行政机关确认或重新出具已获取信息</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977DCA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1A4E4C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4D3E34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47003A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A39E45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28C9751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760266C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r>
      <w:tr w14:paraId="28BE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0"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4E2AB133">
            <w:pPr>
              <w:rPr>
                <w:rFonts w:hint="default" w:ascii="Times New Roman" w:hAnsi="Times New Roman" w:cs="Times New Roman"/>
              </w:rPr>
            </w:pPr>
          </w:p>
        </w:tc>
        <w:tc>
          <w:tcPr>
            <w:tcW w:w="816" w:type="dxa"/>
            <w:vMerge w:val="restart"/>
            <w:tcBorders>
              <w:top w:val="single" w:color="auto" w:sz="4" w:space="0"/>
              <w:left w:val="single" w:color="auto" w:sz="4" w:space="0"/>
              <w:bottom w:val="single" w:color="auto" w:sz="4" w:space="0"/>
              <w:right w:val="single" w:color="auto" w:sz="4" w:space="0"/>
            </w:tcBorders>
            <w:vAlign w:val="center"/>
          </w:tcPr>
          <w:p w14:paraId="5B7306F5">
            <w:pPr>
              <w:widowControl/>
              <w:jc w:val="left"/>
              <w:rPr>
                <w:rFonts w:hint="default" w:ascii="Times New Roman" w:hAnsi="Times New Roman" w:cs="Times New Roman"/>
              </w:rPr>
            </w:pPr>
            <w:r>
              <w:rPr>
                <w:rFonts w:hint="default" w:ascii="Times New Roman" w:hAnsi="Times New Roman" w:eastAsia="楷体" w:cs="Times New Roman"/>
                <w:kern w:val="0"/>
                <w:sz w:val="20"/>
                <w:szCs w:val="20"/>
              </w:rPr>
              <w:t>（六）其他处理</w:t>
            </w:r>
          </w:p>
        </w:tc>
        <w:tc>
          <w:tcPr>
            <w:tcW w:w="2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27B2248">
            <w:pPr>
              <w:widowControl/>
              <w:jc w:val="left"/>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1.申请人无正当理由逾期不补正、行政机关不再处理其政府信息公开申请</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1FAEE9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6E8548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B5C290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AD4DFC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8F9547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1E73192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0D48D32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r>
      <w:tr w14:paraId="356B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1C1FCA04">
            <w:pPr>
              <w:rPr>
                <w:rFonts w:hint="default" w:ascii="Times New Roman" w:hAnsi="Times New Roman" w:cs="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63CF9B5C">
            <w:pPr>
              <w:widowControl/>
              <w:jc w:val="left"/>
              <w:rPr>
                <w:rFonts w:hint="default" w:ascii="Times New Roman" w:hAnsi="Times New Roman" w:eastAsia="楷体" w:cs="Times New Roman"/>
                <w:kern w:val="0"/>
                <w:sz w:val="20"/>
                <w:szCs w:val="20"/>
              </w:rPr>
            </w:pPr>
          </w:p>
        </w:tc>
        <w:tc>
          <w:tcPr>
            <w:tcW w:w="2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E89D8C3">
            <w:pPr>
              <w:widowControl/>
              <w:jc w:val="left"/>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2.申请人逾期未按收费通知要求缴纳费用、行政机关不再处理其政府信息公开申请</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AB3840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786724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415867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3F54BE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22C384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14:paraId="5C62FD6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8" w:space="0"/>
              <w:right w:val="single" w:color="auto" w:sz="8" w:space="0"/>
            </w:tcBorders>
            <w:tcMar>
              <w:left w:w="108" w:type="dxa"/>
              <w:right w:w="108" w:type="dxa"/>
            </w:tcMar>
            <w:vAlign w:val="center"/>
          </w:tcPr>
          <w:p w14:paraId="65F0BDD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r>
      <w:tr w14:paraId="775E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vMerge w:val="continue"/>
            <w:tcBorders>
              <w:top w:val="single" w:color="auto" w:sz="4" w:space="0"/>
              <w:left w:val="single" w:color="auto" w:sz="4" w:space="0"/>
              <w:bottom w:val="single" w:color="auto" w:sz="4" w:space="0"/>
              <w:right w:val="single" w:color="auto" w:sz="4" w:space="0"/>
            </w:tcBorders>
            <w:vAlign w:val="center"/>
          </w:tcPr>
          <w:p w14:paraId="07B293FF">
            <w:pPr>
              <w:rPr>
                <w:rFonts w:hint="default" w:ascii="Times New Roman" w:hAnsi="Times New Roman" w:cs="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7914E682">
            <w:pPr>
              <w:widowControl/>
              <w:jc w:val="left"/>
              <w:rPr>
                <w:rFonts w:hint="default" w:ascii="Times New Roman" w:hAnsi="Times New Roman" w:eastAsia="楷体" w:cs="Times New Roman"/>
                <w:kern w:val="0"/>
                <w:sz w:val="20"/>
                <w:szCs w:val="20"/>
              </w:rPr>
            </w:pPr>
          </w:p>
        </w:tc>
        <w:tc>
          <w:tcPr>
            <w:tcW w:w="2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886216D">
            <w:pPr>
              <w:widowControl/>
              <w:jc w:val="left"/>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3.其他</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6F888B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9BF43B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6D2287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54B84A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117AB5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8" w:type="dxa"/>
            <w:tcBorders>
              <w:top w:val="nil"/>
              <w:left w:val="single" w:color="auto" w:sz="4" w:space="0"/>
              <w:bottom w:val="single" w:color="auto" w:sz="4" w:space="0"/>
              <w:right w:val="single" w:color="auto" w:sz="8" w:space="0"/>
            </w:tcBorders>
            <w:tcMar>
              <w:left w:w="108" w:type="dxa"/>
              <w:right w:w="108" w:type="dxa"/>
            </w:tcMar>
            <w:vAlign w:val="center"/>
          </w:tcPr>
          <w:p w14:paraId="08264A0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nil"/>
              <w:left w:val="nil"/>
              <w:bottom w:val="single" w:color="auto" w:sz="4" w:space="0"/>
              <w:right w:val="single" w:color="auto" w:sz="8" w:space="0"/>
            </w:tcBorders>
            <w:tcMar>
              <w:left w:w="108" w:type="dxa"/>
              <w:right w:w="108" w:type="dxa"/>
            </w:tcMar>
            <w:vAlign w:val="center"/>
          </w:tcPr>
          <w:p w14:paraId="758AF90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r>
      <w:tr w14:paraId="61F19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245CCDCD">
            <w:pPr>
              <w:rPr>
                <w:rFonts w:hint="default" w:ascii="Times New Roman" w:hAnsi="Times New Roman" w:cs="Times New Roman"/>
              </w:rPr>
            </w:pPr>
          </w:p>
        </w:tc>
        <w:tc>
          <w:tcPr>
            <w:tcW w:w="3242"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156612F">
            <w:pPr>
              <w:widowControl/>
              <w:jc w:val="center"/>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（七）总计</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CB91B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50DFE5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36DD30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5193F2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D275F8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554384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65A6AC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rPr>
            </w:pPr>
            <w:r>
              <w:rPr>
                <w:rFonts w:hint="default" w:ascii="Times New Roman" w:hAnsi="Times New Roman" w:cs="Times New Roman"/>
                <w:kern w:val="0"/>
                <w:sz w:val="18"/>
                <w:szCs w:val="18"/>
                <w:lang w:val="en-US" w:eastAsia="zh-CN"/>
              </w:rPr>
              <w:t xml:space="preserve"> </w:t>
            </w:r>
          </w:p>
        </w:tc>
      </w:tr>
      <w:tr w14:paraId="12C7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58"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top"/>
          </w:tcPr>
          <w:p w14:paraId="7E2CF007">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四、结转下年度继续办理</w:t>
            </w:r>
          </w:p>
        </w:tc>
        <w:tc>
          <w:tcPr>
            <w:tcW w:w="5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007DEC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8F3EF6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F92D9C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C17D9A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9FE215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7E2E60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95CD57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 xml:space="preserve"> </w:t>
            </w:r>
          </w:p>
        </w:tc>
      </w:tr>
    </w:tbl>
    <w:p w14:paraId="10BDB5AF">
      <w:pPr>
        <w:rPr>
          <w:rFonts w:hint="default" w:ascii="Times New Roman" w:hAnsi="Times New Roman" w:eastAsia="仿宋_GB2312" w:cs="Times New Roman"/>
          <w:sz w:val="32"/>
          <w:szCs w:val="32"/>
        </w:rPr>
      </w:pPr>
    </w:p>
    <w:p w14:paraId="77BF0916">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四、政府信息公开行政复议、行政诉讼情况</w:t>
      </w:r>
    </w:p>
    <w:tbl>
      <w:tblPr>
        <w:tblStyle w:val="6"/>
        <w:tblW w:w="98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55"/>
        <w:gridCol w:w="655"/>
        <w:gridCol w:w="655"/>
        <w:gridCol w:w="655"/>
        <w:gridCol w:w="634"/>
        <w:gridCol w:w="676"/>
        <w:gridCol w:w="656"/>
        <w:gridCol w:w="656"/>
        <w:gridCol w:w="656"/>
        <w:gridCol w:w="657"/>
        <w:gridCol w:w="656"/>
        <w:gridCol w:w="656"/>
        <w:gridCol w:w="656"/>
        <w:gridCol w:w="657"/>
        <w:gridCol w:w="659"/>
      </w:tblGrid>
      <w:tr w14:paraId="2652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4" w:hRule="atLeast"/>
          <w:jc w:val="center"/>
        </w:trPr>
        <w:tc>
          <w:tcPr>
            <w:tcW w:w="325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6E2D636">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行政复议</w:t>
            </w:r>
          </w:p>
        </w:tc>
        <w:tc>
          <w:tcPr>
            <w:tcW w:w="6585" w:type="dxa"/>
            <w:gridSpan w:val="10"/>
            <w:tcBorders>
              <w:top w:val="single" w:color="auto" w:sz="8" w:space="0"/>
              <w:left w:val="nil"/>
              <w:bottom w:val="single" w:color="auto" w:sz="8" w:space="0"/>
              <w:right w:val="single" w:color="auto" w:sz="8" w:space="0"/>
            </w:tcBorders>
            <w:tcMar>
              <w:left w:w="108" w:type="dxa"/>
              <w:right w:w="108" w:type="dxa"/>
            </w:tcMar>
            <w:vAlign w:val="center"/>
          </w:tcPr>
          <w:p w14:paraId="24193F50">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行政诉讼</w:t>
            </w:r>
          </w:p>
        </w:tc>
      </w:tr>
      <w:tr w14:paraId="3A5C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jc w:val="center"/>
        </w:trPr>
        <w:tc>
          <w:tcPr>
            <w:tcW w:w="655"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2F2BEA77">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结果维持</w:t>
            </w:r>
          </w:p>
        </w:tc>
        <w:tc>
          <w:tcPr>
            <w:tcW w:w="655" w:type="dxa"/>
            <w:vMerge w:val="restart"/>
            <w:tcBorders>
              <w:top w:val="nil"/>
              <w:left w:val="nil"/>
              <w:bottom w:val="single" w:color="auto" w:sz="8" w:space="0"/>
              <w:right w:val="single" w:color="auto" w:sz="8" w:space="0"/>
            </w:tcBorders>
            <w:tcMar>
              <w:left w:w="108" w:type="dxa"/>
              <w:right w:w="108" w:type="dxa"/>
            </w:tcMar>
            <w:vAlign w:val="center"/>
          </w:tcPr>
          <w:p w14:paraId="0A96F5A5">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结果纠正</w:t>
            </w:r>
          </w:p>
        </w:tc>
        <w:tc>
          <w:tcPr>
            <w:tcW w:w="655"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6C86F937">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其他结果</w:t>
            </w:r>
          </w:p>
        </w:tc>
        <w:tc>
          <w:tcPr>
            <w:tcW w:w="655"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01FB0285">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尚未审结</w:t>
            </w:r>
          </w:p>
        </w:tc>
        <w:tc>
          <w:tcPr>
            <w:tcW w:w="634"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336149D3">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总计</w:t>
            </w:r>
          </w:p>
        </w:tc>
        <w:tc>
          <w:tcPr>
            <w:tcW w:w="3301"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11F1750B">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未经复议直接起诉</w:t>
            </w:r>
          </w:p>
        </w:tc>
        <w:tc>
          <w:tcPr>
            <w:tcW w:w="3284"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730320D4">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复议后起诉</w:t>
            </w:r>
          </w:p>
        </w:tc>
      </w:tr>
      <w:tr w14:paraId="632A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5" w:hRule="atLeast"/>
          <w:jc w:val="center"/>
        </w:trPr>
        <w:tc>
          <w:tcPr>
            <w:vMerge w:val="continue"/>
            <w:tcBorders>
              <w:top w:val="nil"/>
              <w:left w:val="single" w:color="auto" w:sz="8" w:space="0"/>
              <w:bottom w:val="single" w:color="auto" w:sz="8" w:space="0"/>
              <w:right w:val="single" w:color="auto" w:sz="8" w:space="0"/>
            </w:tcBorders>
            <w:vAlign w:val="center"/>
          </w:tcPr>
          <w:p w14:paraId="778CF6C8">
            <w:pPr>
              <w:rPr>
                <w:rFonts w:hint="default" w:ascii="Times New Roman" w:hAnsi="Times New Roman" w:cs="Times New Roman"/>
              </w:rPr>
            </w:pPr>
          </w:p>
        </w:tc>
        <w:tc>
          <w:tcPr>
            <w:vMerge w:val="continue"/>
            <w:tcBorders>
              <w:top w:val="nil"/>
              <w:left w:val="nil"/>
              <w:bottom w:val="single" w:color="auto" w:sz="8" w:space="0"/>
              <w:right w:val="single" w:color="auto" w:sz="8" w:space="0"/>
            </w:tcBorders>
            <w:vAlign w:val="center"/>
          </w:tcPr>
          <w:p w14:paraId="51AD61AE">
            <w:pPr>
              <w:rPr>
                <w:rFonts w:hint="default" w:ascii="Times New Roman" w:hAnsi="Times New Roman" w:cs="Times New Roman"/>
              </w:rPr>
            </w:pPr>
          </w:p>
        </w:tc>
        <w:tc>
          <w:tcPr>
            <w:vMerge w:val="continue"/>
            <w:tcBorders>
              <w:top w:val="single" w:color="auto" w:sz="8" w:space="0"/>
              <w:left w:val="nil"/>
              <w:bottom w:val="single" w:color="auto" w:sz="8" w:space="0"/>
              <w:right w:val="single" w:color="auto" w:sz="8" w:space="0"/>
            </w:tcBorders>
            <w:vAlign w:val="center"/>
          </w:tcPr>
          <w:p w14:paraId="6AB5EA4B">
            <w:pPr>
              <w:rPr>
                <w:rFonts w:hint="default" w:ascii="Times New Roman" w:hAnsi="Times New Roman" w:cs="Times New Roman"/>
              </w:rPr>
            </w:pPr>
          </w:p>
        </w:tc>
        <w:tc>
          <w:tcPr>
            <w:tcW w:w="655" w:type="dxa"/>
            <w:vMerge w:val="continue"/>
            <w:tcBorders>
              <w:top w:val="single" w:color="auto" w:sz="8" w:space="0"/>
              <w:left w:val="nil"/>
              <w:bottom w:val="single" w:color="auto" w:sz="8" w:space="0"/>
              <w:right w:val="single" w:color="auto" w:sz="8" w:space="0"/>
            </w:tcBorders>
            <w:vAlign w:val="center"/>
          </w:tcPr>
          <w:p w14:paraId="2C7F8E4E">
            <w:pPr>
              <w:rPr>
                <w:rFonts w:hint="default" w:ascii="Times New Roman" w:hAnsi="Times New Roman" w:cs="Times New Roman"/>
              </w:rPr>
            </w:pPr>
          </w:p>
        </w:tc>
        <w:tc>
          <w:tcPr>
            <w:tcW w:w="634" w:type="dxa"/>
            <w:vMerge w:val="continue"/>
            <w:tcBorders>
              <w:top w:val="single" w:color="auto" w:sz="8" w:space="0"/>
              <w:left w:val="nil"/>
              <w:bottom w:val="single" w:color="auto" w:sz="8" w:space="0"/>
              <w:right w:val="single" w:color="auto" w:sz="8" w:space="0"/>
            </w:tcBorders>
            <w:vAlign w:val="center"/>
          </w:tcPr>
          <w:p w14:paraId="09A72466">
            <w:pPr>
              <w:rPr>
                <w:rFonts w:hint="default" w:ascii="Times New Roman" w:hAnsi="Times New Roman" w:cs="Times New Roman"/>
              </w:rPr>
            </w:pPr>
          </w:p>
        </w:tc>
        <w:tc>
          <w:tcPr>
            <w:tcW w:w="676" w:type="dxa"/>
            <w:tcBorders>
              <w:top w:val="nil"/>
              <w:left w:val="nil"/>
              <w:bottom w:val="single" w:color="auto" w:sz="8" w:space="0"/>
              <w:right w:val="single" w:color="auto" w:sz="8" w:space="0"/>
            </w:tcBorders>
            <w:tcMar>
              <w:left w:w="108" w:type="dxa"/>
              <w:right w:w="108" w:type="dxa"/>
            </w:tcMar>
            <w:vAlign w:val="center"/>
          </w:tcPr>
          <w:p w14:paraId="0E26E028">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结果维持</w:t>
            </w:r>
          </w:p>
        </w:tc>
        <w:tc>
          <w:tcPr>
            <w:tcW w:w="656" w:type="dxa"/>
            <w:tcBorders>
              <w:top w:val="nil"/>
              <w:left w:val="nil"/>
              <w:bottom w:val="single" w:color="auto" w:sz="8" w:space="0"/>
              <w:right w:val="single" w:color="auto" w:sz="8" w:space="0"/>
            </w:tcBorders>
            <w:tcMar>
              <w:left w:w="108" w:type="dxa"/>
              <w:right w:w="108" w:type="dxa"/>
            </w:tcMar>
            <w:vAlign w:val="center"/>
          </w:tcPr>
          <w:p w14:paraId="53CE4548">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结果纠正</w:t>
            </w:r>
          </w:p>
        </w:tc>
        <w:tc>
          <w:tcPr>
            <w:tcW w:w="656" w:type="dxa"/>
            <w:tcBorders>
              <w:top w:val="single" w:color="auto" w:sz="8" w:space="0"/>
              <w:left w:val="nil"/>
              <w:bottom w:val="single" w:color="auto" w:sz="8" w:space="0"/>
              <w:right w:val="single" w:color="auto" w:sz="8" w:space="0"/>
            </w:tcBorders>
            <w:tcMar>
              <w:left w:w="108" w:type="dxa"/>
              <w:right w:w="108" w:type="dxa"/>
            </w:tcMar>
            <w:vAlign w:val="center"/>
          </w:tcPr>
          <w:p w14:paraId="59E0C6FF">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其他结果</w:t>
            </w:r>
          </w:p>
        </w:tc>
        <w:tc>
          <w:tcPr>
            <w:tcW w:w="656" w:type="dxa"/>
            <w:tcBorders>
              <w:top w:val="single" w:color="auto" w:sz="8" w:space="0"/>
              <w:left w:val="nil"/>
              <w:bottom w:val="single" w:color="auto" w:sz="8" w:space="0"/>
              <w:right w:val="single" w:color="auto" w:sz="8" w:space="0"/>
            </w:tcBorders>
            <w:tcMar>
              <w:left w:w="108" w:type="dxa"/>
              <w:right w:w="108" w:type="dxa"/>
            </w:tcMar>
            <w:vAlign w:val="center"/>
          </w:tcPr>
          <w:p w14:paraId="5D631AE8">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尚未审结</w:t>
            </w:r>
          </w:p>
        </w:tc>
        <w:tc>
          <w:tcPr>
            <w:tcW w:w="657" w:type="dxa"/>
            <w:tcBorders>
              <w:top w:val="single" w:color="auto" w:sz="8" w:space="0"/>
              <w:left w:val="nil"/>
              <w:bottom w:val="single" w:color="auto" w:sz="8" w:space="0"/>
              <w:right w:val="single" w:color="auto" w:sz="8" w:space="0"/>
            </w:tcBorders>
            <w:tcMar>
              <w:left w:w="108" w:type="dxa"/>
              <w:right w:w="108" w:type="dxa"/>
            </w:tcMar>
            <w:vAlign w:val="center"/>
          </w:tcPr>
          <w:p w14:paraId="5DD62C99">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总计</w:t>
            </w:r>
          </w:p>
        </w:tc>
        <w:tc>
          <w:tcPr>
            <w:tcW w:w="656" w:type="dxa"/>
            <w:tcBorders>
              <w:top w:val="single" w:color="auto" w:sz="8" w:space="0"/>
              <w:left w:val="nil"/>
              <w:bottom w:val="single" w:color="auto" w:sz="8" w:space="0"/>
              <w:right w:val="single" w:color="auto" w:sz="8" w:space="0"/>
            </w:tcBorders>
            <w:tcMar>
              <w:left w:w="108" w:type="dxa"/>
              <w:right w:w="108" w:type="dxa"/>
            </w:tcMar>
            <w:vAlign w:val="center"/>
          </w:tcPr>
          <w:p w14:paraId="2FB792F6">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结果维持</w:t>
            </w:r>
          </w:p>
        </w:tc>
        <w:tc>
          <w:tcPr>
            <w:tcW w:w="656" w:type="dxa"/>
            <w:tcBorders>
              <w:top w:val="single" w:color="auto" w:sz="8" w:space="0"/>
              <w:left w:val="nil"/>
              <w:bottom w:val="single" w:color="auto" w:sz="8" w:space="0"/>
              <w:right w:val="single" w:color="auto" w:sz="8" w:space="0"/>
            </w:tcBorders>
            <w:tcMar>
              <w:left w:w="108" w:type="dxa"/>
              <w:right w:w="108" w:type="dxa"/>
            </w:tcMar>
            <w:vAlign w:val="center"/>
          </w:tcPr>
          <w:p w14:paraId="59CCBC47">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结果纠正</w:t>
            </w:r>
          </w:p>
        </w:tc>
        <w:tc>
          <w:tcPr>
            <w:tcW w:w="656" w:type="dxa"/>
            <w:tcBorders>
              <w:top w:val="single" w:color="auto" w:sz="8" w:space="0"/>
              <w:left w:val="nil"/>
              <w:bottom w:val="single" w:color="auto" w:sz="8" w:space="0"/>
              <w:right w:val="single" w:color="auto" w:sz="8" w:space="0"/>
            </w:tcBorders>
            <w:tcMar>
              <w:left w:w="108" w:type="dxa"/>
              <w:right w:w="108" w:type="dxa"/>
            </w:tcMar>
            <w:vAlign w:val="center"/>
          </w:tcPr>
          <w:p w14:paraId="5826BE86">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其他结果</w:t>
            </w:r>
          </w:p>
        </w:tc>
        <w:tc>
          <w:tcPr>
            <w:tcW w:w="657" w:type="dxa"/>
            <w:tcBorders>
              <w:top w:val="single" w:color="auto" w:sz="8" w:space="0"/>
              <w:left w:val="nil"/>
              <w:bottom w:val="single" w:color="auto" w:sz="8" w:space="0"/>
              <w:right w:val="single" w:color="auto" w:sz="8" w:space="0"/>
            </w:tcBorders>
            <w:tcMar>
              <w:left w:w="108" w:type="dxa"/>
              <w:right w:w="108" w:type="dxa"/>
            </w:tcMar>
            <w:vAlign w:val="center"/>
          </w:tcPr>
          <w:p w14:paraId="56E6B4F5">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尚未审结</w:t>
            </w:r>
          </w:p>
        </w:tc>
        <w:tc>
          <w:tcPr>
            <w:tcW w:w="659" w:type="dxa"/>
            <w:tcBorders>
              <w:top w:val="single" w:color="auto" w:sz="8" w:space="0"/>
              <w:left w:val="nil"/>
              <w:bottom w:val="single" w:color="auto" w:sz="8" w:space="0"/>
              <w:right w:val="single" w:color="auto" w:sz="8" w:space="0"/>
            </w:tcBorders>
            <w:tcMar>
              <w:left w:w="108" w:type="dxa"/>
              <w:right w:w="108" w:type="dxa"/>
            </w:tcMar>
            <w:vAlign w:val="center"/>
          </w:tcPr>
          <w:p w14:paraId="07366A83">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总计</w:t>
            </w:r>
          </w:p>
        </w:tc>
      </w:tr>
      <w:tr w14:paraId="2936E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3" w:hRule="atLeast"/>
          <w:jc w:val="center"/>
        </w:trPr>
        <w:tc>
          <w:tcPr>
            <w:tcW w:w="655" w:type="dxa"/>
            <w:tcBorders>
              <w:top w:val="nil"/>
              <w:left w:val="single" w:color="auto" w:sz="8" w:space="0"/>
              <w:bottom w:val="single" w:color="auto" w:sz="8" w:space="0"/>
              <w:right w:val="single" w:color="auto" w:sz="8" w:space="0"/>
            </w:tcBorders>
            <w:tcMar>
              <w:left w:w="108" w:type="dxa"/>
              <w:right w:w="108" w:type="dxa"/>
            </w:tcMar>
            <w:vAlign w:val="center"/>
          </w:tcPr>
          <w:p w14:paraId="3435E434">
            <w:pPr>
              <w:widowControl/>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18"/>
                <w:szCs w:val="18"/>
                <w:lang w:val="en-US" w:eastAsia="zh-CN"/>
              </w:rPr>
              <w:t xml:space="preserve"> </w:t>
            </w:r>
          </w:p>
        </w:tc>
        <w:tc>
          <w:tcPr>
            <w:tcW w:w="655" w:type="dxa"/>
            <w:tcBorders>
              <w:top w:val="nil"/>
              <w:left w:val="nil"/>
              <w:bottom w:val="single" w:color="auto" w:sz="8" w:space="0"/>
              <w:right w:val="single" w:color="auto" w:sz="8" w:space="0"/>
            </w:tcBorders>
            <w:tcMar>
              <w:left w:w="108" w:type="dxa"/>
              <w:right w:w="108" w:type="dxa"/>
            </w:tcMar>
            <w:vAlign w:val="center"/>
          </w:tcPr>
          <w:p w14:paraId="0B76E260">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18"/>
                <w:szCs w:val="18"/>
                <w:lang w:val="en-US" w:eastAsia="zh-CN"/>
              </w:rPr>
              <w:t xml:space="preserve"> </w:t>
            </w:r>
          </w:p>
        </w:tc>
        <w:tc>
          <w:tcPr>
            <w:tcW w:w="655" w:type="dxa"/>
            <w:tcBorders>
              <w:top w:val="nil"/>
              <w:left w:val="nil"/>
              <w:bottom w:val="single" w:color="auto" w:sz="8" w:space="0"/>
              <w:right w:val="single" w:color="auto" w:sz="8" w:space="0"/>
            </w:tcBorders>
            <w:tcMar>
              <w:left w:w="108" w:type="dxa"/>
              <w:right w:w="108" w:type="dxa"/>
            </w:tcMar>
            <w:vAlign w:val="center"/>
          </w:tcPr>
          <w:p w14:paraId="6130F2E5">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18"/>
                <w:szCs w:val="18"/>
                <w:lang w:val="en-US" w:eastAsia="zh-CN"/>
              </w:rPr>
              <w:t xml:space="preserve"> </w:t>
            </w:r>
          </w:p>
        </w:tc>
        <w:tc>
          <w:tcPr>
            <w:tcW w:w="655" w:type="dxa"/>
            <w:tcBorders>
              <w:top w:val="nil"/>
              <w:left w:val="nil"/>
              <w:bottom w:val="single" w:color="auto" w:sz="8" w:space="0"/>
              <w:right w:val="single" w:color="auto" w:sz="8" w:space="0"/>
            </w:tcBorders>
            <w:tcMar>
              <w:left w:w="108" w:type="dxa"/>
              <w:right w:w="108" w:type="dxa"/>
            </w:tcMar>
            <w:vAlign w:val="center"/>
          </w:tcPr>
          <w:p w14:paraId="5BFFE7F1">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18"/>
                <w:szCs w:val="18"/>
                <w:lang w:val="en-US" w:eastAsia="zh-CN"/>
              </w:rPr>
              <w:t xml:space="preserve"> </w:t>
            </w:r>
          </w:p>
        </w:tc>
        <w:tc>
          <w:tcPr>
            <w:tcW w:w="634" w:type="dxa"/>
            <w:tcBorders>
              <w:top w:val="nil"/>
              <w:left w:val="nil"/>
              <w:bottom w:val="single" w:color="auto" w:sz="8" w:space="0"/>
              <w:right w:val="single" w:color="auto" w:sz="8" w:space="0"/>
            </w:tcBorders>
            <w:tcMar>
              <w:left w:w="108" w:type="dxa"/>
              <w:right w:w="108" w:type="dxa"/>
            </w:tcMar>
            <w:vAlign w:val="center"/>
          </w:tcPr>
          <w:p w14:paraId="2964101B">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18"/>
                <w:szCs w:val="18"/>
                <w:lang w:val="en-US" w:eastAsia="zh-CN"/>
              </w:rPr>
              <w:t xml:space="preserve"> </w:t>
            </w:r>
          </w:p>
        </w:tc>
        <w:tc>
          <w:tcPr>
            <w:tcW w:w="676" w:type="dxa"/>
            <w:tcBorders>
              <w:top w:val="nil"/>
              <w:left w:val="nil"/>
              <w:bottom w:val="single" w:color="auto" w:sz="8" w:space="0"/>
              <w:right w:val="single" w:color="auto" w:sz="8" w:space="0"/>
            </w:tcBorders>
            <w:tcMar>
              <w:left w:w="108" w:type="dxa"/>
              <w:right w:w="108" w:type="dxa"/>
            </w:tcMar>
            <w:vAlign w:val="center"/>
          </w:tcPr>
          <w:p w14:paraId="7370B395">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18"/>
                <w:szCs w:val="18"/>
                <w:lang w:val="en-US" w:eastAsia="zh-CN"/>
              </w:rPr>
              <w:t xml:space="preserve"> </w:t>
            </w:r>
          </w:p>
        </w:tc>
        <w:tc>
          <w:tcPr>
            <w:tcW w:w="656" w:type="dxa"/>
            <w:tcBorders>
              <w:top w:val="nil"/>
              <w:left w:val="nil"/>
              <w:bottom w:val="single" w:color="auto" w:sz="8" w:space="0"/>
              <w:right w:val="single" w:color="auto" w:sz="8" w:space="0"/>
            </w:tcBorders>
            <w:tcMar>
              <w:left w:w="108" w:type="dxa"/>
              <w:right w:w="108" w:type="dxa"/>
            </w:tcMar>
            <w:vAlign w:val="center"/>
          </w:tcPr>
          <w:p w14:paraId="15566F63">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18"/>
                <w:szCs w:val="18"/>
                <w:lang w:val="en-US" w:eastAsia="zh-CN"/>
              </w:rPr>
              <w:t xml:space="preserve"> </w:t>
            </w:r>
          </w:p>
        </w:tc>
        <w:tc>
          <w:tcPr>
            <w:tcW w:w="656" w:type="dxa"/>
            <w:tcBorders>
              <w:top w:val="nil"/>
              <w:left w:val="nil"/>
              <w:bottom w:val="single" w:color="auto" w:sz="8" w:space="0"/>
              <w:right w:val="single" w:color="auto" w:sz="8" w:space="0"/>
            </w:tcBorders>
            <w:tcMar>
              <w:left w:w="108" w:type="dxa"/>
              <w:right w:w="108" w:type="dxa"/>
            </w:tcMar>
            <w:vAlign w:val="center"/>
          </w:tcPr>
          <w:p w14:paraId="6E2AA1BC">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18"/>
                <w:szCs w:val="18"/>
                <w:lang w:val="en-US" w:eastAsia="zh-CN"/>
              </w:rPr>
              <w:t xml:space="preserve"> </w:t>
            </w:r>
          </w:p>
        </w:tc>
        <w:tc>
          <w:tcPr>
            <w:tcW w:w="656" w:type="dxa"/>
            <w:tcBorders>
              <w:top w:val="nil"/>
              <w:left w:val="nil"/>
              <w:bottom w:val="single" w:color="auto" w:sz="8" w:space="0"/>
              <w:right w:val="single" w:color="auto" w:sz="8" w:space="0"/>
            </w:tcBorders>
            <w:tcMar>
              <w:left w:w="108" w:type="dxa"/>
              <w:right w:w="108" w:type="dxa"/>
            </w:tcMar>
            <w:vAlign w:val="center"/>
          </w:tcPr>
          <w:p w14:paraId="7E9E13C1">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18"/>
                <w:szCs w:val="18"/>
                <w:lang w:val="en-US" w:eastAsia="zh-CN"/>
              </w:rPr>
              <w:t xml:space="preserve"> </w:t>
            </w:r>
          </w:p>
        </w:tc>
        <w:tc>
          <w:tcPr>
            <w:tcW w:w="657" w:type="dxa"/>
            <w:tcBorders>
              <w:top w:val="nil"/>
              <w:left w:val="nil"/>
              <w:bottom w:val="single" w:color="auto" w:sz="8" w:space="0"/>
              <w:right w:val="single" w:color="auto" w:sz="8" w:space="0"/>
            </w:tcBorders>
            <w:tcMar>
              <w:left w:w="108" w:type="dxa"/>
              <w:right w:w="108" w:type="dxa"/>
            </w:tcMar>
            <w:vAlign w:val="center"/>
          </w:tcPr>
          <w:p w14:paraId="581CD9E9">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18"/>
                <w:szCs w:val="18"/>
                <w:lang w:val="en-US" w:eastAsia="zh-CN"/>
              </w:rPr>
              <w:t xml:space="preserve"> </w:t>
            </w:r>
          </w:p>
        </w:tc>
        <w:tc>
          <w:tcPr>
            <w:tcW w:w="656" w:type="dxa"/>
            <w:tcBorders>
              <w:top w:val="nil"/>
              <w:left w:val="nil"/>
              <w:bottom w:val="single" w:color="auto" w:sz="8" w:space="0"/>
              <w:right w:val="single" w:color="auto" w:sz="8" w:space="0"/>
            </w:tcBorders>
            <w:tcMar>
              <w:left w:w="108" w:type="dxa"/>
              <w:right w:w="108" w:type="dxa"/>
            </w:tcMar>
            <w:vAlign w:val="center"/>
          </w:tcPr>
          <w:p w14:paraId="5E440AB9">
            <w:pPr>
              <w:widowControl/>
              <w:jc w:val="center"/>
              <w:rPr>
                <w:rFonts w:hint="default" w:ascii="Times New Roman" w:hAnsi="Times New Roman" w:eastAsia="宋体" w:cs="Times New Roman"/>
                <w:kern w:val="0"/>
                <w:sz w:val="24"/>
                <w:szCs w:val="24"/>
              </w:rPr>
            </w:pPr>
            <w:r>
              <w:rPr>
                <w:rFonts w:hint="default" w:ascii="Times New Roman" w:hAnsi="Times New Roman" w:cs="Times New Roman"/>
                <w:kern w:val="0"/>
                <w:sz w:val="18"/>
                <w:szCs w:val="18"/>
                <w:lang w:val="en-US" w:eastAsia="zh-CN"/>
              </w:rPr>
              <w:t xml:space="preserve"> </w:t>
            </w:r>
          </w:p>
        </w:tc>
        <w:tc>
          <w:tcPr>
            <w:tcW w:w="656" w:type="dxa"/>
            <w:tcBorders>
              <w:top w:val="nil"/>
              <w:left w:val="nil"/>
              <w:bottom w:val="single" w:color="auto" w:sz="8" w:space="0"/>
              <w:right w:val="single" w:color="auto" w:sz="8" w:space="0"/>
            </w:tcBorders>
            <w:tcMar>
              <w:left w:w="108" w:type="dxa"/>
              <w:right w:w="108" w:type="dxa"/>
            </w:tcMar>
            <w:vAlign w:val="center"/>
          </w:tcPr>
          <w:p w14:paraId="15E9F373">
            <w:pPr>
              <w:widowControl/>
              <w:jc w:val="center"/>
              <w:rPr>
                <w:rFonts w:hint="default" w:ascii="Times New Roman" w:hAnsi="Times New Roman" w:eastAsia="宋体" w:cs="Times New Roman"/>
                <w:kern w:val="0"/>
                <w:sz w:val="24"/>
                <w:szCs w:val="24"/>
              </w:rPr>
            </w:pPr>
            <w:r>
              <w:rPr>
                <w:rFonts w:hint="default" w:ascii="Times New Roman" w:hAnsi="Times New Roman" w:cs="Times New Roman"/>
                <w:kern w:val="0"/>
                <w:sz w:val="18"/>
                <w:szCs w:val="18"/>
                <w:lang w:val="en-US" w:eastAsia="zh-CN"/>
              </w:rPr>
              <w:t xml:space="preserve"> </w:t>
            </w:r>
          </w:p>
        </w:tc>
        <w:tc>
          <w:tcPr>
            <w:tcW w:w="656" w:type="dxa"/>
            <w:tcBorders>
              <w:top w:val="nil"/>
              <w:left w:val="nil"/>
              <w:bottom w:val="single" w:color="auto" w:sz="8" w:space="0"/>
              <w:right w:val="single" w:color="auto" w:sz="8" w:space="0"/>
            </w:tcBorders>
            <w:tcMar>
              <w:left w:w="108" w:type="dxa"/>
              <w:right w:w="108" w:type="dxa"/>
            </w:tcMar>
            <w:vAlign w:val="center"/>
          </w:tcPr>
          <w:p w14:paraId="584B6111">
            <w:pPr>
              <w:widowControl/>
              <w:jc w:val="center"/>
              <w:rPr>
                <w:rFonts w:hint="default" w:ascii="Times New Roman" w:hAnsi="Times New Roman" w:eastAsia="宋体" w:cs="Times New Roman"/>
                <w:kern w:val="0"/>
                <w:sz w:val="24"/>
                <w:szCs w:val="24"/>
              </w:rPr>
            </w:pPr>
            <w:r>
              <w:rPr>
                <w:rFonts w:hint="default" w:ascii="Times New Roman" w:hAnsi="Times New Roman" w:cs="Times New Roman"/>
                <w:kern w:val="0"/>
                <w:sz w:val="18"/>
                <w:szCs w:val="18"/>
                <w:lang w:val="en-US" w:eastAsia="zh-CN"/>
              </w:rPr>
              <w:t xml:space="preserve"> </w:t>
            </w:r>
          </w:p>
        </w:tc>
        <w:tc>
          <w:tcPr>
            <w:tcW w:w="657" w:type="dxa"/>
            <w:tcBorders>
              <w:top w:val="nil"/>
              <w:left w:val="nil"/>
              <w:bottom w:val="single" w:color="auto" w:sz="8" w:space="0"/>
              <w:right w:val="single" w:color="auto" w:sz="8" w:space="0"/>
            </w:tcBorders>
            <w:tcMar>
              <w:left w:w="108" w:type="dxa"/>
              <w:right w:w="108" w:type="dxa"/>
            </w:tcMar>
            <w:vAlign w:val="center"/>
          </w:tcPr>
          <w:p w14:paraId="71ED71CE">
            <w:pPr>
              <w:widowControl/>
              <w:jc w:val="center"/>
              <w:rPr>
                <w:rFonts w:hint="default" w:ascii="Times New Roman" w:hAnsi="Times New Roman" w:eastAsia="宋体" w:cs="Times New Roman"/>
                <w:kern w:val="0"/>
                <w:sz w:val="24"/>
                <w:szCs w:val="24"/>
              </w:rPr>
            </w:pPr>
            <w:r>
              <w:rPr>
                <w:rFonts w:hint="default" w:ascii="Times New Roman" w:hAnsi="Times New Roman" w:cs="Times New Roman"/>
                <w:kern w:val="0"/>
                <w:sz w:val="18"/>
                <w:szCs w:val="18"/>
                <w:lang w:val="en-US" w:eastAsia="zh-CN"/>
              </w:rPr>
              <w:t xml:space="preserve"> </w:t>
            </w:r>
          </w:p>
        </w:tc>
        <w:tc>
          <w:tcPr>
            <w:tcW w:w="659" w:type="dxa"/>
            <w:tcBorders>
              <w:top w:val="nil"/>
              <w:left w:val="nil"/>
              <w:bottom w:val="single" w:color="auto" w:sz="8" w:space="0"/>
              <w:right w:val="single" w:color="auto" w:sz="8" w:space="0"/>
            </w:tcBorders>
            <w:tcMar>
              <w:left w:w="108" w:type="dxa"/>
              <w:right w:w="108" w:type="dxa"/>
            </w:tcMar>
            <w:vAlign w:val="center"/>
          </w:tcPr>
          <w:p w14:paraId="1DB4B1FB">
            <w:pPr>
              <w:widowControl/>
              <w:jc w:val="center"/>
              <w:rPr>
                <w:rFonts w:hint="default" w:ascii="Times New Roman" w:hAnsi="Times New Roman" w:eastAsia="宋体" w:cs="Times New Roman"/>
                <w:kern w:val="0"/>
                <w:sz w:val="24"/>
                <w:szCs w:val="24"/>
              </w:rPr>
            </w:pPr>
            <w:r>
              <w:rPr>
                <w:rFonts w:hint="default" w:ascii="Times New Roman" w:hAnsi="Times New Roman" w:cs="Times New Roman"/>
                <w:kern w:val="0"/>
                <w:sz w:val="18"/>
                <w:szCs w:val="18"/>
                <w:lang w:val="en-US" w:eastAsia="zh-CN"/>
              </w:rPr>
              <w:t xml:space="preserve"> </w:t>
            </w:r>
          </w:p>
        </w:tc>
      </w:tr>
    </w:tbl>
    <w:p w14:paraId="658D43B3">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五、存在的主要问题及改进情况</w:t>
      </w:r>
    </w:p>
    <w:p w14:paraId="0C4D00CD">
      <w:pPr>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年，洋口港经济开发区政府信息公开工作在上级部门的正确指导与社会各界的大力支持下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取得了阶段性成效。公开载体持续丰富、信息数量稳步增长、内容质量有效提升，群众满意度得到显著改善。但对照上级主管部门的工作要求，结合新时代洋口港经济开发区对外宣传、服务发展的迫切需求，当前信息公开工作仍存在短板与不足。为进一步加大公开力度、优化公开质效，开发区将迅速部署、狠抓整改，具体举措如下：1.强化公开及时性与针对性。聚焦群众反映强烈的热点问题、关心关注的难点问题及社会敏感事项，建立 “群</w:t>
      </w:r>
      <w:bookmarkStart w:id="0" w:name="_GoBack"/>
      <w:bookmarkEnd w:id="0"/>
      <w:r>
        <w:rPr>
          <w:rFonts w:hint="default" w:ascii="Times New Roman" w:hAnsi="Times New Roman" w:eastAsia="仿宋_GB2312" w:cs="Times New Roman"/>
          <w:sz w:val="32"/>
          <w:szCs w:val="32"/>
        </w:rPr>
        <w:t>众诉求 — 信息梳理 — 快速公开” 闭环机制，主动、全面、及时公开相关信息，确保群众第一时间获取权威内容，切实保障知情权与监督权。2.压实工作责任与监管力度。明确信息公开各环节目标任务，细化责任清单，将工作责任层层分解、落实到人，形成“主要领导牵头抓、分管领导具体抓、责任部门直接抓”的工作格局。同时，加大日常监督检查力度，建立健全考核评价机制，对工作推进不力、落实不到位的情况严肃追责问责，确保信息公开工作有序高效推进。3.规范完善制度体系建设。立足开发区工作实际，进一步修订完善政府信息公开各项规章制度，明确公开范围、公开方式、公开程序和工作要求，形成覆盖全面、规范有序、务实管用的制度体系。通过制度建设规范信息公开行为，确保公开内容真实准确、全面规范，不断提升信息公开工作的制度化、规范化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提升政策解读时效性与实效性。围绕上级重大决策部署、重要政策文件以及开发区重点工作、重点项目，建立政策解读快速响应机制，及时组织相关部门通过新闻发布会、政策宣讲会、在线访谈、图文解读等多种形式，开展全方位、多角度、深层次的政策解读，清晰阐释政策出台的背景、主要内容、适用范围和实施路径，让群众准确理解政策意图、熟练掌握政策要点，切实提升政策执行力和落地效果。</w:t>
      </w:r>
    </w:p>
    <w:p w14:paraId="239143E4">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14:paraId="42843D67">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（一）主动公开政府信息数量</w:t>
      </w:r>
    </w:p>
    <w:p w14:paraId="7A6A40BF">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202</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年度，本单位主动公开信息条数</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66</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条。</w:t>
      </w:r>
    </w:p>
    <w:p w14:paraId="51C08D17">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（二）主动公开渠道</w:t>
      </w:r>
    </w:p>
    <w:p w14:paraId="59AEF575">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1.政府门户网站。本单位在如东政府网政府信息公开栏目发布信息</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66</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条。</w:t>
      </w:r>
    </w:p>
    <w:p w14:paraId="09025CDD">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2.公共查阅点。本单位设置1个文件查阅点，全年向县档案馆报送</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66</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份文件。</w:t>
      </w:r>
    </w:p>
    <w:p w14:paraId="14DDAC84">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3.新闻发布会</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全年举办0次新闻发布会。</w:t>
      </w:r>
    </w:p>
    <w:p w14:paraId="3615C936">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4.市（县）长信箱</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全年处理市（县）长信箱信件</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件，处理率达到100%。</w:t>
      </w:r>
    </w:p>
    <w:p w14:paraId="79E89FCD">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5.政府服务热线。全年处理县12345政府服务热线联动指挥平台交办件</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1310</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件，及时办结率为100%。</w:t>
      </w:r>
    </w:p>
    <w:p w14:paraId="482AFD57">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6.其他途径。通过报纸、电台、电视台、新媒体、微信公众号等平台主动公布职责范围内的重要政府信息</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400多</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条。</w:t>
      </w:r>
    </w:p>
    <w:p w14:paraId="249ADE7D">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三</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其他需要注明情况</w:t>
      </w:r>
    </w:p>
    <w:p w14:paraId="304AB0E7">
      <w:pPr>
        <w:pStyle w:val="2"/>
        <w:ind w:left="0" w:leftChars="0" w:firstLine="640" w:firstLineChars="200"/>
        <w:rPr>
          <w:rFonts w:hint="default" w:ascii="Times New Roman" w:hAnsi="Times New Roman" w:cs="Times New Roman"/>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202</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年度</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，本单位未收取因依申请公开办理产生的信息处理费。</w:t>
      </w:r>
    </w:p>
    <w:sectPr>
      <w:footerReference r:id="rId3" w:type="default"/>
      <w:pgSz w:w="11906" w:h="16838"/>
      <w:pgMar w:top="1814"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9F1D115E-4868-4A97-A679-41F8815AFB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embedRegular r:id="rId2" w:fontKey="{140236C7-7C71-496B-8C2F-26E6D97B6275}"/>
  </w:font>
  <w:font w:name="方正小标宋_GBK">
    <w:panose1 w:val="03000509000000000000"/>
    <w:charset w:val="86"/>
    <w:family w:val="script"/>
    <w:pitch w:val="default"/>
    <w:sig w:usb0="00000001" w:usb1="080E0000" w:usb2="00000000" w:usb3="00000000" w:csb0="00040000" w:csb1="00000000"/>
    <w:embedRegular r:id="rId3" w:fontKey="{B8E08E8F-D0DD-4598-AC11-03D21886C5EF}"/>
  </w:font>
  <w:font w:name="仿宋_GB2312">
    <w:panose1 w:val="02010609030101010101"/>
    <w:charset w:val="86"/>
    <w:family w:val="modern"/>
    <w:pitch w:val="default"/>
    <w:sig w:usb0="00000001" w:usb1="080E0000" w:usb2="00000000" w:usb3="00000000" w:csb0="00040000" w:csb1="00000000"/>
    <w:embedRegular r:id="rId4" w:fontKey="{6087482C-2946-454B-9E82-3C664313A4C9}"/>
  </w:font>
  <w:font w:name="楷体_GB2312">
    <w:panose1 w:val="02010609030101010101"/>
    <w:charset w:val="86"/>
    <w:family w:val="auto"/>
    <w:pitch w:val="default"/>
    <w:sig w:usb0="00000001" w:usb1="080E0000" w:usb2="00000000" w:usb3="00000000" w:csb0="00040000" w:csb1="00000000"/>
    <w:embedRegular r:id="rId5" w:fontKey="{E5AD34C0-0962-4A63-9868-301BBE446053}"/>
  </w:font>
  <w:font w:name="方正仿宋_GBK">
    <w:panose1 w:val="03000509000000000000"/>
    <w:charset w:val="86"/>
    <w:family w:val="script"/>
    <w:pitch w:val="default"/>
    <w:sig w:usb0="00000001" w:usb1="080E0000" w:usb2="00000000" w:usb3="00000000" w:csb0="00040000" w:csb1="00000000"/>
    <w:embedRegular r:id="rId6" w:fontKey="{7D404C92-3654-4642-AE3A-26386FC973AA}"/>
  </w:font>
  <w:font w:name="楷体">
    <w:panose1 w:val="02010609060101010101"/>
    <w:charset w:val="86"/>
    <w:family w:val="modern"/>
    <w:pitch w:val="default"/>
    <w:sig w:usb0="800002BF" w:usb1="38CF7CFA" w:usb2="00000016" w:usb3="00000000" w:csb0="00040001" w:csb1="00000000"/>
    <w:embedRegular r:id="rId7" w:fontKey="{C03BB49C-DE9E-49CC-B4AD-2D1E47FACD21}"/>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062E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EBBAB">
                          <w:pPr>
                            <w:pStyle w:val="3"/>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EBBAB">
                    <w:pPr>
                      <w:pStyle w:val="3"/>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ZmYxOTkxZTE4OTZlMTE2YmQ3OWQzMWI1YWJjYjUifQ=="/>
  </w:docVars>
  <w:rsids>
    <w:rsidRoot w:val="2AE61FA9"/>
    <w:rsid w:val="00863B59"/>
    <w:rsid w:val="01E2188F"/>
    <w:rsid w:val="02DE7EBF"/>
    <w:rsid w:val="05CA7F4D"/>
    <w:rsid w:val="0CA43CE5"/>
    <w:rsid w:val="10BE10ED"/>
    <w:rsid w:val="12E7525A"/>
    <w:rsid w:val="16161084"/>
    <w:rsid w:val="1B754B8F"/>
    <w:rsid w:val="1EB4768C"/>
    <w:rsid w:val="1F812483"/>
    <w:rsid w:val="2042704D"/>
    <w:rsid w:val="20445115"/>
    <w:rsid w:val="225C2FF1"/>
    <w:rsid w:val="253D7410"/>
    <w:rsid w:val="25C769DE"/>
    <w:rsid w:val="27B01338"/>
    <w:rsid w:val="28DC43AF"/>
    <w:rsid w:val="2AE61FA9"/>
    <w:rsid w:val="2C4C0C14"/>
    <w:rsid w:val="32AE0B6A"/>
    <w:rsid w:val="37730B2B"/>
    <w:rsid w:val="3B6F597F"/>
    <w:rsid w:val="3DFA7D3A"/>
    <w:rsid w:val="3F944A63"/>
    <w:rsid w:val="40A11D0E"/>
    <w:rsid w:val="410F072B"/>
    <w:rsid w:val="4ADE2CE5"/>
    <w:rsid w:val="4C4579F1"/>
    <w:rsid w:val="4E895B21"/>
    <w:rsid w:val="4F9803B2"/>
    <w:rsid w:val="52537B63"/>
    <w:rsid w:val="567011EA"/>
    <w:rsid w:val="58BE2FA8"/>
    <w:rsid w:val="5B07533E"/>
    <w:rsid w:val="5F20557C"/>
    <w:rsid w:val="60AF5F2B"/>
    <w:rsid w:val="62CA6A4B"/>
    <w:rsid w:val="63A40936"/>
    <w:rsid w:val="63C1288E"/>
    <w:rsid w:val="65E6393A"/>
    <w:rsid w:val="690C0DC9"/>
    <w:rsid w:val="6A786C43"/>
    <w:rsid w:val="6DFE28BD"/>
    <w:rsid w:val="79703A50"/>
    <w:rsid w:val="7BF32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ascii="Calibri" w:hAnsi="Calibri" w:eastAsia="宋体" w:cs="Times New Roman"/>
      <w:szCs w:val="2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1722</Words>
  <Characters>1801</Characters>
  <Lines>0</Lines>
  <Paragraphs>0</Paragraphs>
  <TotalTime>253</TotalTime>
  <ScaleCrop>false</ScaleCrop>
  <LinksUpToDate>false</LinksUpToDate>
  <CharactersWithSpaces>1817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2021-12-29T08:10:00Z</dcterms:created>
  <dc:creator>猫</dc:creator>
  <cp:lastModifiedBy>蜜斯糖</cp:lastModifiedBy>
  <cp:lastPrinted>2024-12-23T02:38:00Z</cp:lastPrinted>
  <dcterms:modified xsi:type="dcterms:W3CDTF">2026-01-13T02:45:33Z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2E99CD2E26C24AB89040F26AEAA57E32_13</vt:lpwstr>
  </property>
  <property fmtid="{D5CDD505-2E9C-101B-9397-08002B2CF9AE}" pid="4" name="KSOTemplateDocerSaveRecord">
    <vt:lpwstr>eyJoZGlkIjoiNzQ3ZDkxYWU3ZjA0NWQyNDA4NmY1MzhlY2Y1MDJhNjciLCJ1c2VySWQiOiIyNzA5OTczMDAifQ==</vt:lpwstr>
  </property>
</Properties>
</file>