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3" w:firstLine="0" w:firstLineChars="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exact"/>
        <w:rPr>
          <w:rFonts w:ascii="仿宋" w:hAnsi="仿宋" w:eastAsia="仿宋" w:cs="仿宋"/>
          <w:w w:val="80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如东县国家电子商务进农村综合示范项目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中央财政专项资金使用安排计划表</w:t>
      </w:r>
    </w:p>
    <w:p>
      <w:pPr>
        <w:pStyle w:val="2"/>
        <w:spacing w:line="240" w:lineRule="exact"/>
        <w:ind w:left="-330" w:right="3" w:firstLine="0"/>
      </w:pPr>
    </w:p>
    <w:tbl>
      <w:tblPr>
        <w:tblStyle w:val="1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88"/>
        <w:gridCol w:w="13"/>
        <w:gridCol w:w="1613"/>
        <w:gridCol w:w="5318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2214" w:type="dxa"/>
            <w:gridSpan w:val="3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项目名称</w:t>
            </w:r>
          </w:p>
        </w:tc>
        <w:tc>
          <w:tcPr>
            <w:tcW w:w="5318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建设内容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资金安排（万元）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601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numPr>
                <w:ilvl w:val="1"/>
                <w:numId w:val="0"/>
              </w:numPr>
              <w:spacing w:line="400" w:lineRule="exact"/>
              <w:jc w:val="center"/>
              <w:rPr>
                <w:rFonts w:ascii="仿宋" w:hAnsi="仿宋" w:eastAsia="仿宋" w:cs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  <w:t>电子商务公共服务体系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县级电子商务公共服务中心建设</w:t>
            </w:r>
          </w:p>
        </w:tc>
        <w:tc>
          <w:tcPr>
            <w:tcW w:w="531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1、利用闲置园区、办公楼等建设县级电子商务公共服务中心，面积不低于1000㎡。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2、功能包括：办公区、孵化区、培训中心、产品展示、数据采集统计、电商直播等。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3、配置电脑、打（复）印机、扫描设备、音像（视频、LED 显示）设备、网络接入（输出、存储）设备、直播设备、办公桌椅等设备设施。</w:t>
            </w:r>
          </w:p>
          <w:p>
            <w:pPr>
              <w:pStyle w:val="7"/>
              <w:spacing w:line="400" w:lineRule="exact"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4、配备运营团队，实现服务中心各项服务功能，整合各项县级业务单位下沉服务到镇村，形成可持续发展机制。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601" w:type="dxa"/>
            <w:gridSpan w:val="2"/>
            <w:vMerge w:val="continue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如东县农村电商服务站点建设运营</w:t>
            </w:r>
          </w:p>
        </w:tc>
        <w:tc>
          <w:tcPr>
            <w:tcW w:w="53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在全县选择交通便利、产业优势明显或人员相对集中的镇村（社区），建成13个镇级电商服务站、90个村（社区）电子商务服务站（点），实现村级电商服务全覆盖。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建设三个产业带孵化中心。服务站（点）由县服务中心提供统一门头安装、制度墙、电脑、货架、显示器等基本硬件设施，具备产品零售、实体体验、网络代购、物流配送、技术服务、农产品收储等功能.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3.拓展代收代缴、代买代卖、小额存取金融服务、保险、生活缴费服务等功能.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601" w:type="dxa"/>
            <w:gridSpan w:val="2"/>
            <w:vMerge w:val="restart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电子商务物流体系</w:t>
            </w:r>
          </w:p>
        </w:tc>
        <w:tc>
          <w:tcPr>
            <w:tcW w:w="1613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建设改造一个电子商务物流配送中心</w:t>
            </w:r>
          </w:p>
        </w:tc>
        <w:tc>
          <w:tcPr>
            <w:tcW w:w="531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1、鼓励社会资本建设县级电子商务物流配送中心。</w:t>
            </w:r>
          </w:p>
          <w:p>
            <w:pPr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2、中心提供公共仓储、分拣场所，具有仓储区、分拣区、加工包装区、配送区以及运营办公区。通过资源融合，发挥物流集约效应，降低全县物流成本。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601" w:type="dxa"/>
            <w:gridSpan w:val="2"/>
            <w:vMerge w:val="continue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建立全县农村物流信息管理系统</w:t>
            </w:r>
          </w:p>
        </w:tc>
        <w:tc>
          <w:tcPr>
            <w:tcW w:w="5318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left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立“工业品下乡、农产品进城”双向流通的农村物流管理系统，对接物流需求方与提供方，消除物流信息屏障；整合全县物流信息，发挥指挥调度作用，有效管理订单、运单、运力、场站与货物，实现高效顺畅的货物流转。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601" w:type="dxa"/>
            <w:gridSpan w:val="2"/>
            <w:vMerge w:val="restart"/>
            <w:vAlign w:val="center"/>
          </w:tcPr>
          <w:p>
            <w:pPr>
              <w:pStyle w:val="7"/>
              <w:spacing w:line="400" w:lineRule="exact"/>
              <w:ind w:firstLine="560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7"/>
              <w:spacing w:line="400" w:lineRule="exact"/>
              <w:ind w:firstLine="560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4"/>
              <w:keepNext w:val="0"/>
              <w:keepLines w:val="0"/>
              <w:numPr>
                <w:ilvl w:val="1"/>
                <w:numId w:val="0"/>
              </w:numPr>
              <w:spacing w:line="400" w:lineRule="exact"/>
              <w:jc w:val="center"/>
              <w:rPr>
                <w:rFonts w:ascii="仿宋" w:hAnsi="仿宋" w:eastAsia="仿宋" w:cs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  <w:t>产品流通体系</w:t>
            </w:r>
          </w:p>
        </w:tc>
        <w:tc>
          <w:tcPr>
            <w:tcW w:w="1613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品牌培育</w:t>
            </w:r>
          </w:p>
        </w:tc>
        <w:tc>
          <w:tcPr>
            <w:tcW w:w="531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1、培育至少一个区域公用品牌；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2、培育如东农产品、海产品、健身器材、生命防护、旅游等电商知名品牌。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3、重点打造适合网络销售的健身器材、紫菜、海蜇、鱼类加工品、鸡蛋、果蔬等特色产品，结合“一镇一业”、“一村一品”优势产业，形成1～2个特色主导产业。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" w:hAnsi="仿宋" w:eastAsia="仿宋" w:cs="仿宋"/>
                <w:sz w:val="24"/>
              </w:rPr>
              <w:t>利用传统纸媒、互联网等形式进行宣传。</w:t>
            </w:r>
          </w:p>
          <w:p>
            <w:pPr>
              <w:pStyle w:val="7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5、举办电商研讨会、座谈会、电商讲座等活动。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6、全县农村网络零售额、农产品网络零售额同比增长20%以上。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601" w:type="dxa"/>
            <w:gridSpan w:val="2"/>
            <w:vMerge w:val="continue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溯源体系建设</w:t>
            </w:r>
          </w:p>
        </w:tc>
        <w:tc>
          <w:tcPr>
            <w:tcW w:w="5318" w:type="dxa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360" w:lineRule="exact"/>
              <w:ind w:left="0" w:left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开展产品溯源体系建设，提供网销产品的检测检验服务。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360" w:lineRule="exact"/>
              <w:ind w:left="0" w:left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建立县级网销产品二维码数据库，重点网销产品实行二维码溯源追踪。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360" w:lineRule="exact"/>
              <w:ind w:left="0" w:left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加强产品品质管理体系建设，提高产品“追溯、监管、营销”公共服务水平。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601" w:type="dxa"/>
            <w:gridSpan w:val="2"/>
            <w:vMerge w:val="continue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建设县级电子商务大数据服务中心</w:t>
            </w:r>
          </w:p>
        </w:tc>
        <w:tc>
          <w:tcPr>
            <w:tcW w:w="5318" w:type="dxa"/>
            <w:vAlign w:val="center"/>
          </w:tcPr>
          <w:p>
            <w:pPr>
              <w:pStyle w:val="8"/>
              <w:spacing w:after="0" w:line="360" w:lineRule="exact"/>
              <w:ind w:left="0" w:left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过对各地域电商企业、自建电商平台、县镇村服务体系以及基于第三方服务的本地店铺的智能化数据采集，数据提炼分析，便于对全县大米、海鲜、健身器材产品电子商务交易动态数据进行分析和整理，发挥数据研判和政策参谋作用。对接商务部日报系统，实现智能对接。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601" w:type="dxa"/>
            <w:gridSpan w:val="2"/>
            <w:vMerge w:val="continue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13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建立电商营销服务体系</w:t>
            </w:r>
          </w:p>
        </w:tc>
        <w:tc>
          <w:tcPr>
            <w:tcW w:w="531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1、鼓励传统商贸企业利用淘宝、天猫、京东、抖音、快手、拼多多等第三方电商平台开设旗舰店、专营店、网店、微店等网上商城和网上商店，多形式开辟销售渠道。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2、推动本地同城化订单配送，开展网上预售。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3、打造新媒体直播中心。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60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电子商务培训体系</w:t>
            </w:r>
          </w:p>
        </w:tc>
        <w:tc>
          <w:tcPr>
            <w:tcW w:w="1613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电子商务普及培训</w:t>
            </w:r>
          </w:p>
        </w:tc>
        <w:tc>
          <w:tcPr>
            <w:tcW w:w="5318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针对县、镇（街道）、村三级工作人员和站点服务人员开展电子商务普及培训800人次以上。</w:t>
            </w:r>
          </w:p>
        </w:tc>
        <w:tc>
          <w:tcPr>
            <w:tcW w:w="1177" w:type="dxa"/>
            <w:vMerge w:val="restart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60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电商高技能人才培训</w:t>
            </w:r>
          </w:p>
        </w:tc>
        <w:tc>
          <w:tcPr>
            <w:tcW w:w="531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有针对性、分阶段、分层次举办形式多样、内容丰富的电子商务理论及实操培训。培训相关从业人员1600人（次）以上。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60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新媒体直播人才培训</w:t>
            </w:r>
          </w:p>
        </w:tc>
        <w:tc>
          <w:tcPr>
            <w:tcW w:w="531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有针对性、分阶段、分层次举办形式多样、内容丰富的新媒体直播人才培训。培训相关从业人员1600人（次）以上。</w:t>
            </w:r>
          </w:p>
        </w:tc>
        <w:tc>
          <w:tcPr>
            <w:tcW w:w="1177" w:type="dxa"/>
            <w:vMerge w:val="continue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588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电商扶贫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构建电商对口扶贫协作机制</w:t>
            </w:r>
          </w:p>
        </w:tc>
        <w:tc>
          <w:tcPr>
            <w:tcW w:w="531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1、通过对口帮扶，推动对口帮扶地区农特产品“走出去、卖得好”。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2、通过对口帮扶，实现对口帮扶地区贫困户电商创业就业。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588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咨询服务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项目自检机制</w:t>
            </w:r>
          </w:p>
        </w:tc>
        <w:tc>
          <w:tcPr>
            <w:tcW w:w="531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对项目作出全面检查和对验收文件进行整理，并列出整改清单，对项目实施阶段进行阶段性自检。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49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rPr>
                <w:rFonts w:ascii="仿宋" w:hAnsi="仿宋" w:eastAsia="仿宋" w:cs="仿宋"/>
              </w:rPr>
            </w:pPr>
          </w:p>
        </w:tc>
        <w:tc>
          <w:tcPr>
            <w:tcW w:w="7532" w:type="dxa"/>
            <w:gridSpan w:val="4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合计</w:t>
            </w:r>
          </w:p>
        </w:tc>
        <w:tc>
          <w:tcPr>
            <w:tcW w:w="1177" w:type="dxa"/>
            <w:vAlign w:val="center"/>
          </w:tcPr>
          <w:p>
            <w:pPr>
              <w:pStyle w:val="8"/>
              <w:spacing w:after="0"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2000</w:t>
            </w:r>
          </w:p>
        </w:tc>
      </w:tr>
    </w:tbl>
    <w:p>
      <w:pPr>
        <w:pStyle w:val="1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417" w:bottom="1814" w:left="1587" w:header="850" w:footer="1247" w:gutter="0"/>
      <w:cols w:space="0" w:num="1"/>
      <w:docGrid w:type="linesAndChars" w:linePitch="574" w:charSpace="-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11"/>
      <w:jc w:val="center"/>
      <w:rPr>
        <w:rFonts w:ascii="楷体_GB2312" w:eastAsia="楷体_GB2312"/>
        <w:sz w:val="28"/>
      </w:rPr>
    </w:pPr>
    <w:r>
      <w:rPr>
        <w:rStyle w:val="16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1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6"/>
        <w:rFonts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Style w:val="16"/>
        <w:rFonts w:hint="eastAsia" w:ascii="楷体_GB2312" w:eastAsia="楷体_GB2312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280" w:firstLineChars="100"/>
      <w:rPr>
        <w:rFonts w:ascii="楷体_GB2312" w:eastAsia="楷体_GB2312"/>
        <w:sz w:val="28"/>
      </w:rPr>
    </w:pPr>
    <w:r>
      <w:rPr>
        <w:rStyle w:val="16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/>
        <w:sz w:val="28"/>
      </w:rPr>
      <w:fldChar w:fldCharType="begin"/>
    </w:r>
    <w:r>
      <w:rPr>
        <w:rStyle w:val="1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6"/>
        <w:rFonts w:ascii="宋体" w:hAnsi="宋体" w:eastAsia="宋体"/>
        <w:sz w:val="28"/>
      </w:rPr>
      <w:t>18</w:t>
    </w:r>
    <w:r>
      <w:rPr>
        <w:rFonts w:hint="eastAsia" w:ascii="宋体" w:hAnsi="宋体" w:eastAsia="宋体"/>
        <w:sz w:val="28"/>
      </w:rPr>
      <w:fldChar w:fldCharType="end"/>
    </w:r>
    <w:r>
      <w:rPr>
        <w:rStyle w:val="16"/>
        <w:rFonts w:hint="eastAsia" w:ascii="楷体_GB2312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6B9DC"/>
    <w:multiLevelType w:val="singleLevel"/>
    <w:tmpl w:val="E616B9DC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B2F30D0"/>
    <w:multiLevelType w:val="singleLevel"/>
    <w:tmpl w:val="5B2F30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3F"/>
    <w:rsid w:val="00130618"/>
    <w:rsid w:val="0015249A"/>
    <w:rsid w:val="00236AC0"/>
    <w:rsid w:val="002511C6"/>
    <w:rsid w:val="00254252"/>
    <w:rsid w:val="002A55E2"/>
    <w:rsid w:val="00302B05"/>
    <w:rsid w:val="003C6CA6"/>
    <w:rsid w:val="004C3A9B"/>
    <w:rsid w:val="00686BC6"/>
    <w:rsid w:val="00731C29"/>
    <w:rsid w:val="007776FB"/>
    <w:rsid w:val="0079494E"/>
    <w:rsid w:val="008153CE"/>
    <w:rsid w:val="00825331"/>
    <w:rsid w:val="00881A1F"/>
    <w:rsid w:val="009D0AEF"/>
    <w:rsid w:val="00A2363F"/>
    <w:rsid w:val="00A83ADB"/>
    <w:rsid w:val="00AD5210"/>
    <w:rsid w:val="00C24A6D"/>
    <w:rsid w:val="00CF7808"/>
    <w:rsid w:val="00D83A45"/>
    <w:rsid w:val="00E00FF2"/>
    <w:rsid w:val="00E23CB1"/>
    <w:rsid w:val="00E30222"/>
    <w:rsid w:val="00E56029"/>
    <w:rsid w:val="00EE2E09"/>
    <w:rsid w:val="00F90946"/>
    <w:rsid w:val="1CBD4A85"/>
    <w:rsid w:val="20427CC6"/>
    <w:rsid w:val="207F2777"/>
    <w:rsid w:val="20FC1535"/>
    <w:rsid w:val="43DA6BA2"/>
    <w:rsid w:val="494C254F"/>
    <w:rsid w:val="4B50763E"/>
    <w:rsid w:val="4E1E3A09"/>
    <w:rsid w:val="55A67B8C"/>
    <w:rsid w:val="60576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outlineLvl w:val="0"/>
    </w:pPr>
    <w:rPr>
      <w:rFonts w:ascii="等线" w:hAnsi="等线" w:eastAsia="黑体"/>
      <w:kern w:val="44"/>
    </w:rPr>
  </w:style>
  <w:style w:type="paragraph" w:styleId="4">
    <w:name w:val="heading 2"/>
    <w:basedOn w:val="1"/>
    <w:next w:val="1"/>
    <w:link w:val="20"/>
    <w:qFormat/>
    <w:uiPriority w:val="99"/>
    <w:pPr>
      <w:keepNext/>
      <w:keepLines/>
      <w:outlineLvl w:val="1"/>
    </w:pPr>
    <w:rPr>
      <w:rFonts w:ascii="Arial" w:hAnsi="Arial" w:eastAsia="楷体"/>
      <w:kern w:val="0"/>
    </w:rPr>
  </w:style>
  <w:style w:type="paragraph" w:styleId="5">
    <w:name w:val="heading 3"/>
    <w:basedOn w:val="1"/>
    <w:next w:val="1"/>
    <w:qFormat/>
    <w:uiPriority w:val="99"/>
    <w:pPr>
      <w:keepNext/>
      <w:keepLines/>
      <w:outlineLvl w:val="2"/>
    </w:pPr>
    <w:rPr>
      <w:rFonts w:ascii="Times New Roman" w:hAnsi="Times New Roman" w:eastAsia="宋体"/>
      <w:b/>
      <w:kern w:val="0"/>
      <w:sz w:val="20"/>
    </w:rPr>
  </w:style>
  <w:style w:type="paragraph" w:styleId="6">
    <w:name w:val="heading 4"/>
    <w:basedOn w:val="1"/>
    <w:next w:val="1"/>
    <w:link w:val="21"/>
    <w:qFormat/>
    <w:uiPriority w:val="99"/>
    <w:pPr>
      <w:keepNext/>
      <w:keepLines/>
      <w:outlineLvl w:val="3"/>
    </w:pPr>
    <w:rPr>
      <w:rFonts w:ascii="Arial" w:hAnsi="Arial"/>
      <w:b/>
      <w:kern w:val="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-216" w:leftChars="-104" w:right="2" w:rightChars="1" w:hanging="2"/>
      <w:jc w:val="center"/>
    </w:pPr>
    <w:rPr>
      <w:rFonts w:ascii="楷体_GB2312" w:eastAsia="楷体_GB2312"/>
      <w:sz w:val="24"/>
    </w:rPr>
  </w:style>
  <w:style w:type="paragraph" w:styleId="7">
    <w:name w:val="Body Text"/>
    <w:basedOn w:val="1"/>
    <w:next w:val="1"/>
    <w:qFormat/>
    <w:uiPriority w:val="99"/>
    <w:rPr>
      <w:sz w:val="28"/>
    </w:rPr>
  </w:style>
  <w:style w:type="paragraph" w:styleId="8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黑体"/>
      <w:kern w:val="0"/>
      <w:sz w:val="24"/>
    </w:rPr>
  </w:style>
  <w:style w:type="paragraph" w:styleId="9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qFormat/>
    <w:uiPriority w:val="99"/>
    <w:pPr>
      <w:autoSpaceDE w:val="0"/>
      <w:autoSpaceDN w:val="0"/>
      <w:spacing w:before="100" w:beforeAutospacing="1" w:after="100" w:afterAutospacing="1"/>
      <w:ind w:firstLine="643"/>
      <w:jc w:val="left"/>
    </w:pPr>
    <w:rPr>
      <w:rFonts w:ascii="宋体" w:hAnsi="宋体" w:eastAsia="宋体"/>
      <w:kern w:val="0"/>
      <w:sz w:val="24"/>
      <w:szCs w:val="22"/>
    </w:rPr>
  </w:style>
  <w:style w:type="paragraph" w:styleId="13">
    <w:name w:val="Body Text First Indent 2"/>
    <w:basedOn w:val="8"/>
    <w:semiHidden/>
    <w:unhideWhenUsed/>
    <w:qFormat/>
    <w:uiPriority w:val="99"/>
    <w:pPr>
      <w:ind w:firstLine="420"/>
    </w:pPr>
    <w:rPr>
      <w:rFonts w:ascii="Calibri" w:hAnsi="Calibri" w:eastAsia="仿宋"/>
      <w:kern w:val="2"/>
      <w:sz w:val="32"/>
    </w:rPr>
  </w:style>
  <w:style w:type="character" w:styleId="16">
    <w:name w:val="page number"/>
    <w:basedOn w:val="15"/>
    <w:qFormat/>
    <w:uiPriority w:val="0"/>
  </w:style>
  <w:style w:type="character" w:customStyle="1" w:styleId="17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Char"/>
    <w:basedOn w:val="15"/>
    <w:link w:val="4"/>
    <w:qFormat/>
    <w:uiPriority w:val="99"/>
    <w:rPr>
      <w:rFonts w:ascii="Arial" w:hAnsi="Arial" w:eastAsia="楷体"/>
      <w:kern w:val="0"/>
      <w:szCs w:val="20"/>
    </w:rPr>
  </w:style>
  <w:style w:type="character" w:customStyle="1" w:styleId="21">
    <w:name w:val="标题 4 Char"/>
    <w:basedOn w:val="15"/>
    <w:link w:val="6"/>
    <w:qFormat/>
    <w:uiPriority w:val="99"/>
    <w:rPr>
      <w:rFonts w:ascii="Arial" w:hAnsi="Arial"/>
      <w:b/>
      <w:kern w:val="0"/>
      <w:szCs w:val="20"/>
    </w:rPr>
  </w:style>
  <w:style w:type="character" w:customStyle="1" w:styleId="22">
    <w:name w:val="批注框文本 Char"/>
    <w:basedOn w:val="15"/>
    <w:link w:val="9"/>
    <w:semiHidden/>
    <w:qFormat/>
    <w:uiPriority w:val="99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1348</Words>
  <Characters>7686</Characters>
  <Lines>64</Lines>
  <Paragraphs>18</Paragraphs>
  <TotalTime>58</TotalTime>
  <ScaleCrop>false</ScaleCrop>
  <LinksUpToDate>false</LinksUpToDate>
  <CharactersWithSpaces>9016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2022-02-14T09:59:00Z</dcterms:created>
  <dc:creator>lenovo1</dc:creator>
  <cp:lastModifiedBy>商务局</cp:lastModifiedBy>
  <cp:lastPrinted>2022-02-23T02:16:00Z</cp:lastPrinted>
  <dcterms:modified xsi:type="dcterms:W3CDTF">2022-02-28T02:31:51Z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9A5545B65A4F42CEA59BB25268D03FDE</vt:lpwstr>
  </property>
</Properties>
</file>