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auto"/>
          <w:sz w:val="32"/>
          <w:szCs w:val="32"/>
          <w:lang w:val="en-US" w:eastAsia="zh-CN"/>
        </w:rPr>
      </w:pPr>
      <w:bookmarkStart w:id="1" w:name="_GoBack"/>
      <w:bookmarkEnd w:id="1"/>
      <w:bookmarkStart w:id="0" w:name="TTitle_1"/>
      <w:bookmarkEnd w:id="0"/>
      <w:r>
        <w:rPr>
          <w:rFonts w:hint="eastAsia" w:ascii="黑体" w:hAnsi="黑体" w:eastAsia="黑体" w:cs="黑体"/>
          <w:color w:val="000000"/>
          <w:sz w:val="32"/>
          <w:szCs w:val="32"/>
          <w:lang w:eastAsia="zh-CN"/>
        </w:rPr>
        <w:t>中国人民银行如东县支行</w:t>
      </w:r>
      <w:r>
        <w:rPr>
          <w:rFonts w:hint="eastAsia" w:ascii="黑体" w:hAnsi="黑体" w:eastAsia="黑体" w:cs="黑体"/>
          <w:color w:val="000000"/>
          <w:sz w:val="32"/>
          <w:szCs w:val="32"/>
          <w:lang w:val="en-US" w:eastAsia="zh-CN"/>
        </w:rPr>
        <w:t>2023年工作总结</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2023年，人民银行如东县支行坚决贯彻党中央、国务院决策部署，在南通市</w:t>
      </w:r>
      <w:r>
        <w:rPr>
          <w:rFonts w:hint="eastAsia" w:ascii="仿宋" w:hAnsi="仿宋" w:cs="仿宋"/>
          <w:sz w:val="32"/>
          <w:szCs w:val="32"/>
          <w:lang w:val="en-US" w:eastAsia="zh-CN"/>
        </w:rPr>
        <w:t>分行</w:t>
      </w:r>
      <w:r>
        <w:rPr>
          <w:rFonts w:hint="eastAsia" w:ascii="仿宋" w:hAnsi="仿宋" w:eastAsia="仿宋" w:cs="仿宋"/>
          <w:sz w:val="32"/>
          <w:szCs w:val="32"/>
          <w:lang w:val="en-US" w:eastAsia="zh-CN"/>
        </w:rPr>
        <w:t>和如东县委县指导下，担当作为、全力以赴，携手金融监管部门和辖区金融机构，为稳定地方经济基本盘和如东县经济高质量发展提供金融支撑，各方面工作取得积极成效。现将我支行2023年相关工作情况报告如下：</w:t>
      </w:r>
    </w:p>
    <w:p>
      <w:pPr>
        <w:pStyle w:val="3"/>
        <w:bidi w:val="0"/>
        <w:rPr>
          <w:rFonts w:hint="eastAsia"/>
          <w:sz w:val="32"/>
          <w:szCs w:val="32"/>
          <w:lang w:val="en-US" w:eastAsia="zh-CN"/>
        </w:rPr>
      </w:pPr>
      <w:r>
        <w:rPr>
          <w:rFonts w:hint="eastAsia"/>
          <w:sz w:val="32"/>
          <w:szCs w:val="32"/>
          <w:lang w:val="en-US" w:eastAsia="zh-CN"/>
        </w:rPr>
        <w:t>一、精准有力落实稳健货币政策，有力发挥金融支持作用</w:t>
      </w:r>
    </w:p>
    <w:p>
      <w:pPr>
        <w:pStyle w:val="4"/>
        <w:bidi w:val="0"/>
        <w:rPr>
          <w:rFonts w:hint="eastAsia"/>
          <w:lang w:val="en-US" w:eastAsia="zh-CN"/>
        </w:rPr>
      </w:pPr>
      <w:r>
        <w:rPr>
          <w:rFonts w:hint="eastAsia"/>
          <w:lang w:val="en-US" w:eastAsia="zh-CN"/>
        </w:rPr>
        <w:t>（一）增强货币政策工具投放精准性、有效性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深入调研企业和社会公众对于信贷资金的实际需求，实地了解普惠小微企业经营状况、融资成本压力，积极向上级</w:t>
      </w:r>
      <w:r>
        <w:rPr>
          <w:rFonts w:hint="eastAsia" w:ascii="仿宋" w:hAnsi="仿宋" w:eastAsia="仿宋" w:cs="仿宋"/>
          <w:color w:val="auto"/>
          <w:sz w:val="32"/>
          <w:szCs w:val="32"/>
          <w:lang w:val="en-US" w:eastAsia="zh-CN"/>
        </w:rPr>
        <w:t>行申请足额再贷款额度，推动低成本资金红利惠及实体经济。</w:t>
      </w:r>
      <w:r>
        <w:rPr>
          <w:rFonts w:hint="eastAsia" w:ascii="仿宋" w:hAnsi="仿宋" w:eastAsia="仿宋" w:cs="仿宋"/>
          <w:sz w:val="32"/>
          <w:szCs w:val="32"/>
          <w:lang w:val="en-US" w:eastAsia="zh-CN"/>
        </w:rPr>
        <w:t>2023年为如东农商行办理支农支小再贷款5笔2.85亿元，加权平均利率为4%，较去年同期下降66个基点，惠及149户普惠小微企业，其中首贷企业43户。通过普惠小微贷款支持工具推动辖内法人银行扩大普惠小微信贷覆盖面，2023年运用普惠小微贷款支持工具为如东农商行提供政策性奖励资金3331.66万元。</w:t>
      </w:r>
    </w:p>
    <w:p>
      <w:pPr>
        <w:pStyle w:val="4"/>
        <w:bidi w:val="0"/>
        <w:rPr>
          <w:rFonts w:hint="eastAsia"/>
          <w:sz w:val="32"/>
          <w:szCs w:val="32"/>
          <w:lang w:val="en-US" w:eastAsia="zh-CN"/>
        </w:rPr>
      </w:pPr>
      <w:r>
        <w:rPr>
          <w:rFonts w:hint="eastAsia"/>
          <w:sz w:val="32"/>
          <w:szCs w:val="32"/>
          <w:lang w:val="en-US" w:eastAsia="zh-CN"/>
        </w:rPr>
        <w:t>（二）各项贷款稳步增长，定向支持重点领域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始终坚持把金融服务实体经济发展放在第一位，摆正金融工作位置，促进经济和金融良性循环、健康发展。针对辖区制造业普遍面临的转型升级、技术攻坚、稳链强链三大核心需求，积极引导银行业金融机构加大信贷投放，充分发挥结构性货币政策工具精准滴灌作用。</w:t>
      </w:r>
      <w:r>
        <w:rPr>
          <w:rFonts w:hint="eastAsia" w:ascii="仿宋" w:hAnsi="仿宋" w:eastAsia="仿宋" w:cs="仿宋"/>
          <w:color w:val="auto"/>
          <w:sz w:val="32"/>
          <w:szCs w:val="32"/>
          <w:lang w:val="en-US" w:eastAsia="zh-CN"/>
        </w:rPr>
        <w:t>截止今年12月末，全县各项贷款余额1975.79亿元，比年初增加387.89亿元，其中工业贷款余额501.24亿元，较年初增加90.14亿元，全年贷款增量和工业贷款增量这两项指标排名在南通市辖区持续稳居第一。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在信贷结构方面，住户贷款与非金融企业及机关团体贷款是全县各项贷款的重要组成部分。全县各项贷款持续高增的原因主要是住户贷款、非金融企业及机关团体贷款增长持续保持稳定</w:t>
      </w:r>
      <w:r>
        <w:rPr>
          <w:rFonts w:hint="eastAsia" w:ascii="仿宋" w:hAnsi="仿宋" w:eastAsia="仿宋" w:cs="仿宋"/>
          <w:color w:val="auto"/>
          <w:sz w:val="32"/>
          <w:szCs w:val="32"/>
          <w:lang w:val="en-US" w:eastAsia="zh-CN"/>
        </w:rPr>
        <w:t>。2023年12月末，全县住户贷款余额294.17亿元，同比增速达到15.09%，增速在6县（市、区）中位列第一位；非金融企业及机关团体贷款余额1681.60亿元，同比增速达到27.55%，增速在6县（市、区）中位列第一位。</w:t>
      </w:r>
    </w:p>
    <w:p>
      <w:pPr>
        <w:pStyle w:val="3"/>
        <w:bidi w:val="0"/>
        <w:rPr>
          <w:rFonts w:hint="eastAsia"/>
          <w:sz w:val="32"/>
          <w:szCs w:val="32"/>
          <w:lang w:val="en-US" w:eastAsia="zh-CN"/>
        </w:rPr>
      </w:pPr>
      <w:r>
        <w:rPr>
          <w:rFonts w:hint="eastAsia"/>
          <w:sz w:val="32"/>
          <w:szCs w:val="32"/>
          <w:lang w:val="en-US" w:eastAsia="zh-CN"/>
        </w:rPr>
        <w:t>二、扎实推动金融风险防范化解，守牢区域金融安全底线</w:t>
      </w:r>
    </w:p>
    <w:p>
      <w:pPr>
        <w:pStyle w:val="4"/>
        <w:bidi w:val="0"/>
        <w:rPr>
          <w:rFonts w:hint="eastAsia"/>
          <w:lang w:val="en-US" w:eastAsia="zh-CN"/>
        </w:rPr>
      </w:pPr>
      <w:r>
        <w:rPr>
          <w:rFonts w:hint="eastAsia"/>
          <w:lang w:val="en-US" w:eastAsia="zh-CN"/>
        </w:rPr>
        <w:t>（一）强化稳定意识，完善金融风险监测评估防控体系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一是做好风险监测，金融风险具有突发性、隐蔽性、传染性和滞后性等特点，指导辖内各金融机构做好风险监测预警，积极对全县各行业开展风险研判，积极关注辖内19家金融机构经营管理情况，从维护全县金融稳定和金融生态环境出发，配合县政府及相关部门，加强对民间借贷、银行资产质量、非法集资等领域的监测分析；二是加强风险防控，引导辖内各金融机构强化风险防控能力，提升风险处置水平，通过重大事项报送的形式及时主动报送相关潜在风险点，对于可能存在的风险点要未雨绸缪、密切关注、准确预判、有效防范；三是加强存量不良化解，要求各金融机构持续加大对不良贷款的化解力度，</w:t>
      </w:r>
      <w:r>
        <w:rPr>
          <w:rFonts w:hint="eastAsia" w:ascii="仿宋" w:hAnsi="仿宋" w:eastAsia="仿宋" w:cs="仿宋"/>
          <w:color w:val="auto"/>
          <w:sz w:val="32"/>
          <w:szCs w:val="32"/>
          <w:lang w:val="en-US" w:eastAsia="zh-CN"/>
        </w:rPr>
        <w:t>截至2023年12月末，全县不良贷款率为0.60%，不良贷款率始终保持在较低水平。</w:t>
      </w:r>
    </w:p>
    <w:p>
      <w:pPr>
        <w:pStyle w:val="4"/>
        <w:bidi w:val="0"/>
        <w:rPr>
          <w:rFonts w:hint="eastAsia"/>
          <w:lang w:val="en-US" w:eastAsia="zh-CN"/>
        </w:rPr>
      </w:pPr>
      <w:r>
        <w:rPr>
          <w:rFonts w:hint="eastAsia"/>
          <w:lang w:val="en-US" w:eastAsia="zh-CN"/>
        </w:rPr>
        <w:t>（二）提升监管震慑力，深入打击协同治理新型犯罪</w:t>
      </w:r>
    </w:p>
    <w:p>
      <w:pPr>
        <w:rPr>
          <w:rFonts w:hint="eastAsia"/>
          <w:lang w:val="en-US" w:eastAsia="zh-CN"/>
        </w:rPr>
      </w:pPr>
      <w:r>
        <w:rPr>
          <w:rFonts w:hint="eastAsia"/>
          <w:lang w:val="en-US" w:eastAsia="zh-CN"/>
        </w:rPr>
        <w:t>充分利用现有外汇大数据的监测分析结果，高效、有序地按照核查程序要求开展核查工作并执行相应的监管措施，对发现的外汇案件线索，开展深入排摸和进一步处理。办结两起行政处罚案件，收缴罚款16.5万元，并对两家银行进行风险提示。对融兴村镇银行、华泰证券如东营业部开展反洗钱监管走访工作，强化监管职能，重点检查这两家金融机构反洗钱制度建设、落实客户实名制、客户风险等级管理、培训与宣传工作，督促加强反洗钱工作，履行好反洗钱义务。常态化打击治理地下钱庄、跨境赌博、网络炒汇等违法犯罪活动。深入推动治理洗钱犯罪三年行动，2023年，县人民法院宣判洗钱案8起，案件办理数量大幅提升，成果显著，获上级行充分肯定。</w:t>
      </w:r>
    </w:p>
    <w:p>
      <w:pPr>
        <w:pStyle w:val="3"/>
        <w:bidi w:val="0"/>
        <w:rPr>
          <w:rFonts w:hint="eastAsia"/>
          <w:lang w:val="en-US" w:eastAsia="zh-CN"/>
        </w:rPr>
      </w:pPr>
      <w:r>
        <w:rPr>
          <w:rFonts w:hint="eastAsia"/>
          <w:lang w:val="en-US" w:eastAsia="zh-CN"/>
        </w:rPr>
        <w:t>三、持续深化区域金融改革创新，激发地方经济发展动能</w:t>
      </w:r>
    </w:p>
    <w:p>
      <w:pPr>
        <w:pStyle w:val="4"/>
        <w:bidi w:val="0"/>
        <w:rPr>
          <w:rFonts w:hint="eastAsia"/>
          <w:lang w:val="en-US" w:eastAsia="zh-CN"/>
        </w:rPr>
      </w:pPr>
      <w:r>
        <w:rPr>
          <w:rFonts w:hint="eastAsia"/>
          <w:lang w:val="en-US" w:eastAsia="zh-CN"/>
        </w:rPr>
        <w:t>（一）聚焦普惠金融、重点产业，加快产品创投</w:t>
      </w:r>
    </w:p>
    <w:p>
      <w:pPr>
        <w:bidi w:val="0"/>
        <w:rPr>
          <w:rFonts w:hint="eastAsia"/>
          <w:color w:val="auto"/>
          <w:lang w:val="en-US" w:eastAsia="zh-CN"/>
        </w:rPr>
      </w:pPr>
      <w:r>
        <w:rPr>
          <w:rFonts w:hint="eastAsia"/>
          <w:lang w:val="en-US" w:eastAsia="zh-CN"/>
        </w:rPr>
        <w:t>一是指导辖内各金融机构对普惠小微客群持续深耕、长效管理。如东农商行为本行首贷户创新制定“如一助力贷”产品，通过配比组合贷以及灵活调整担保方式等优势，形成了良好的同质产品竞争力，</w:t>
      </w:r>
      <w:r>
        <w:rPr>
          <w:rFonts w:hint="eastAsia"/>
          <w:color w:val="auto"/>
          <w:lang w:val="en-US" w:eastAsia="zh-CN"/>
        </w:rPr>
        <w:t>全年该产品净增216户，余额净增3.21亿元。</w:t>
      </w:r>
      <w:r>
        <w:rPr>
          <w:rFonts w:hint="eastAsia"/>
          <w:lang w:val="en-US" w:eastAsia="zh-CN"/>
        </w:rPr>
        <w:t>二是指导辖内各金融机构积极做深做透产业研究和需求调研，抓住专精特新等优质企业扩容契机。农业银行如东支行组合运用“专精特新小巨人贷”“科技易贷”等产品，加大对科技创新和新兴产业支持力度，</w:t>
      </w:r>
      <w:r>
        <w:rPr>
          <w:rFonts w:hint="eastAsia"/>
          <w:color w:val="auto"/>
          <w:lang w:val="en-US" w:eastAsia="zh-CN"/>
        </w:rPr>
        <w:t>该行全年投放“专精特新”企业贷款27笔2.84亿元。</w:t>
      </w:r>
    </w:p>
    <w:p>
      <w:pPr>
        <w:pStyle w:val="4"/>
        <w:bidi w:val="0"/>
        <w:rPr>
          <w:rFonts w:hint="eastAsia"/>
          <w:lang w:val="en-US" w:eastAsia="zh-CN"/>
        </w:rPr>
      </w:pPr>
      <w:r>
        <w:rPr>
          <w:rFonts w:hint="eastAsia"/>
          <w:lang w:val="en-US" w:eastAsia="zh-CN"/>
        </w:rPr>
        <w:t>（二）聚焦乡村振兴、绿色金融，加大资金投放</w:t>
      </w:r>
    </w:p>
    <w:p>
      <w:pPr>
        <w:bidi w:val="0"/>
        <w:rPr>
          <w:rFonts w:hint="eastAsia"/>
          <w:color w:val="auto"/>
          <w:lang w:val="en-US" w:eastAsia="zh-CN"/>
        </w:rPr>
      </w:pPr>
      <w:r>
        <w:rPr>
          <w:rFonts w:hint="eastAsia"/>
          <w:lang w:val="en-US" w:eastAsia="zh-CN"/>
        </w:rPr>
        <w:t>一是指导辖内各金融机构以金融力量加快推动农业提质增效。</w:t>
      </w:r>
      <w:r>
        <w:rPr>
          <w:rFonts w:hint="eastAsia"/>
          <w:color w:val="auto"/>
          <w:lang w:val="en-US" w:eastAsia="zh-CN"/>
        </w:rPr>
        <w:t>截至2023年12月末，全县涉农贷款余额1433.12亿元，较年初增加286.24亿元，同比多增55.42亿元。</w:t>
      </w:r>
      <w:r>
        <w:rPr>
          <w:rFonts w:hint="eastAsia"/>
          <w:lang w:val="en-US" w:eastAsia="zh-CN"/>
        </w:rPr>
        <w:t>如东农商行加大了与农担公司的业务沟通，通过“微企易贷”为农村企业提供低成本的资金支持，</w:t>
      </w:r>
      <w:r>
        <w:rPr>
          <w:rFonts w:hint="eastAsia"/>
          <w:color w:val="auto"/>
          <w:lang w:val="en-US" w:eastAsia="zh-CN"/>
        </w:rPr>
        <w:t>全年净增“微企易贷”183户3.40亿元；二</w:t>
      </w:r>
      <w:r>
        <w:rPr>
          <w:rFonts w:hint="eastAsia"/>
          <w:lang w:val="en-US" w:eastAsia="zh-CN"/>
        </w:rPr>
        <w:t>是指导辖内各金融机构在有效控制风险和业务可持续的前提下助力绿色金融发展。</w:t>
      </w:r>
      <w:r>
        <w:rPr>
          <w:rFonts w:hint="eastAsia"/>
          <w:color w:val="auto"/>
          <w:lang w:val="en-US" w:eastAsia="zh-CN"/>
        </w:rPr>
        <w:t>截至2023年12月末，邮储银行如东支行绿色信贷授信14户，累计投放26.595亿元；</w:t>
      </w:r>
      <w:r>
        <w:rPr>
          <w:rFonts w:hint="eastAsia"/>
          <w:lang w:val="en-US" w:eastAsia="zh-CN"/>
        </w:rPr>
        <w:t>江苏银行为“江苏省央行资金重点支持绿色企业名录库”中企业创新推出“苏碳融”产品，满足绿色企业在价格、期限、担保方式等方面的需求，</w:t>
      </w:r>
      <w:r>
        <w:rPr>
          <w:rFonts w:hint="eastAsia"/>
          <w:color w:val="auto"/>
          <w:lang w:val="en-US" w:eastAsia="zh-CN"/>
        </w:rPr>
        <w:t>截至2023年12月末已发放“苏碳融”企业4户2.38亿元。</w:t>
      </w:r>
    </w:p>
    <w:p>
      <w:pPr>
        <w:pStyle w:val="3"/>
        <w:bidi w:val="0"/>
        <w:jc w:val="both"/>
        <w:rPr>
          <w:rFonts w:hint="eastAsia"/>
          <w:lang w:eastAsia="zh-CN"/>
        </w:rPr>
      </w:pPr>
      <w:r>
        <w:rPr>
          <w:rFonts w:hint="eastAsia"/>
          <w:b w:val="0"/>
          <w:bCs w:val="0"/>
          <w:lang w:eastAsia="zh-CN"/>
        </w:rPr>
        <w:t>四、大力提升金融管理服务质效，提高金融惠民利企水</w:t>
      </w:r>
      <w:r>
        <w:rPr>
          <w:rFonts w:hint="eastAsia"/>
          <w:lang w:eastAsia="zh-CN"/>
        </w:rPr>
        <w:t>平</w:t>
      </w:r>
    </w:p>
    <w:p>
      <w:pPr>
        <w:pStyle w:val="4"/>
        <w:bidi w:val="0"/>
        <w:rPr>
          <w:rFonts w:hint="eastAsia"/>
          <w:lang w:eastAsia="zh-CN"/>
        </w:rPr>
      </w:pPr>
      <w:r>
        <w:rPr>
          <w:rFonts w:hint="eastAsia"/>
          <w:lang w:eastAsia="zh-CN"/>
        </w:rPr>
        <w:t>（一）持续推进农村信用体系建设</w:t>
      </w:r>
    </w:p>
    <w:p>
      <w:pPr>
        <w:bidi w:val="0"/>
        <w:rPr>
          <w:rFonts w:hint="eastAsia"/>
          <w:lang w:eastAsia="zh-CN"/>
        </w:rPr>
      </w:pPr>
      <w:r>
        <w:rPr>
          <w:rFonts w:hint="eastAsia"/>
          <w:lang w:eastAsia="zh-CN"/>
        </w:rPr>
        <w:t>一是推动涉农数据采集和“三信”评定工作。完善农户系统数据，组织各涉农银行上门走访，全面收集农户信息，提高农户信息采集的准确性和完整性。二是继续推进整村授信工作。整村授信是发展普惠金融、金融服务为民的重要举措，指导如东农商行以村组资源为基础，以多方面宣传为抓手、以科技提升服务为要求、以乡村领域全覆盖为目标，实现对辖区内农户、农村个体工商户、小微企业主走访全覆盖，建档全覆盖，科学授信全覆盖。</w:t>
      </w:r>
    </w:p>
    <w:p>
      <w:pPr>
        <w:pStyle w:val="4"/>
        <w:bidi w:val="0"/>
        <w:rPr>
          <w:rFonts w:hint="eastAsia"/>
          <w:lang w:eastAsia="zh-CN"/>
        </w:rPr>
      </w:pPr>
      <w:r>
        <w:rPr>
          <w:rFonts w:hint="eastAsia"/>
          <w:lang w:eastAsia="zh-CN"/>
        </w:rPr>
        <w:t>（二）</w:t>
      </w:r>
      <w:r>
        <w:rPr>
          <w:rFonts w:hint="eastAsia"/>
          <w:lang w:val="en-US" w:eastAsia="zh-CN"/>
        </w:rPr>
        <w:t>完善金融纠纷调解化解机制</w:t>
      </w:r>
    </w:p>
    <w:p>
      <w:pPr>
        <w:jc w:val="both"/>
        <w:rPr>
          <w:rFonts w:hint="eastAsia"/>
          <w:color w:val="000000"/>
          <w:lang w:val="en-US" w:eastAsia="zh-CN"/>
        </w:rPr>
      </w:pPr>
      <w:r>
        <w:rPr>
          <w:rFonts w:hint="eastAsia"/>
          <w:color w:val="000000"/>
          <w:lang w:val="en-US" w:eastAsia="zh-CN"/>
        </w:rPr>
        <w:t>建设金融纠纷调解中心是共同推进金融纠纷多元化解机制、促进各类金融纠纷源头治理的重要手段。支行高度重视如东金融纠纷调解分中心建设，2次联合法院召开如东金融纠纷多元化解工作座谈会，要求辖区银行业金融机构统一思想，提高认识，积极配合人民法院提高金融纠纷的化解力度，争取做到金融纠纷一降（减少诉讼数量）一增（增加调解数量），形成金融纠纷多元化解的合力。2022年5月-2023年9月，如东金融调解中心总调解量1045件，调解成功量为324件，在南通9个调解中心中分别位居第一、第三位，切实降低了金融消费者在消费维权、纠纷化解方面的诉讼费用、时间成本。</w:t>
      </w:r>
    </w:p>
    <w:p>
      <w:pPr>
        <w:pStyle w:val="4"/>
        <w:bidi w:val="0"/>
        <w:rPr>
          <w:rFonts w:hint="eastAsia"/>
          <w:lang w:val="en-US" w:eastAsia="zh-CN"/>
        </w:rPr>
      </w:pPr>
      <w:r>
        <w:rPr>
          <w:rFonts w:hint="eastAsia"/>
          <w:lang w:val="en-US" w:eastAsia="zh-CN"/>
        </w:rPr>
        <w:t>（三）结合地方实际推广数币应用</w:t>
      </w:r>
    </w:p>
    <w:p>
      <w:pPr>
        <w:rPr>
          <w:rFonts w:hint="eastAsia"/>
          <w:color w:val="FF0000"/>
          <w:lang w:val="en-US" w:eastAsia="zh-CN"/>
        </w:rPr>
      </w:pPr>
      <w:r>
        <w:rPr>
          <w:rFonts w:hint="eastAsia"/>
          <w:lang w:val="en-US" w:eastAsia="zh-CN"/>
        </w:rPr>
        <w:t>支行扎实贯彻上级行工作部署，立足新发展阶段，服务构建新发展格局，促进数字人民币普及应用在群众中生根，切实推动高质量发展。在组织领导方面，支行成立了如东县数字人民币试点推广工作领导小组，稳妥有序开展如东县数字人民币试点工作，推动数字人民币应用增量扩面、场景持续创新、生态不断完善；在协调推进方面，联合如东县地方金融监督管理局开展“便民惠企、数享如东”数字人民币推广启动仪式暨数字人民币消费体验活动，组织辖区金融机构开展宣传60余次；在场景建设方面，推动邮储银行如东县支行与中央商场签订了数字人民币战略合作协议、招商银行与融媒体中心开发零售百货、餐饮文旅、交通出行、医疗卫生等数币体验区应用场景，通过多样化的宣传举措破解中青年群体不愿用、不想用，</w:t>
      </w:r>
      <w:r>
        <w:rPr>
          <w:rFonts w:hint="eastAsia"/>
          <w:color w:val="auto"/>
          <w:lang w:val="en-US" w:eastAsia="zh-CN"/>
        </w:rPr>
        <w:t>老年群体不敢用、不会用的问题。截止2023年12月31日，辖区个人钱包开立180910个，对公钱包21904个，线下受理门店11793个，累计活跃笔数179493，累计交易金额68873.79万元。</w:t>
      </w:r>
    </w:p>
    <w:p>
      <w:pPr>
        <w:pStyle w:val="3"/>
        <w:bidi w:val="0"/>
        <w:rPr>
          <w:rFonts w:hint="eastAsia"/>
          <w:lang w:eastAsia="zh-CN"/>
        </w:rPr>
      </w:pPr>
      <w:r>
        <w:rPr>
          <w:rFonts w:hint="eastAsia"/>
          <w:lang w:eastAsia="zh-CN"/>
        </w:rPr>
        <w:t>五、围绕改革中心工作有的放矢，有效提升内控内管质效</w:t>
      </w:r>
    </w:p>
    <w:p>
      <w:pPr>
        <w:pStyle w:val="4"/>
        <w:bidi w:val="0"/>
        <w:rPr>
          <w:rFonts w:hint="eastAsia" w:ascii="楷体" w:hAnsi="楷体" w:eastAsia="楷体" w:cs="楷体"/>
          <w:color w:val="auto"/>
          <w:sz w:val="32"/>
          <w:szCs w:val="32"/>
          <w:lang w:val="en-US" w:eastAsia="zh-CN"/>
        </w:rPr>
      </w:pPr>
      <w:r>
        <w:rPr>
          <w:rFonts w:hint="eastAsia"/>
          <w:lang w:eastAsia="zh-CN"/>
        </w:rPr>
        <w:t>（一）</w:t>
      </w:r>
      <w:r>
        <w:rPr>
          <w:rFonts w:hint="eastAsia" w:ascii="楷体" w:hAnsi="楷体" w:eastAsia="楷体" w:cs="楷体"/>
          <w:color w:val="auto"/>
          <w:sz w:val="32"/>
          <w:szCs w:val="32"/>
          <w:lang w:val="en-US" w:eastAsia="zh-CN"/>
        </w:rPr>
        <w:t>机要保密常抓不懈</w:t>
      </w:r>
      <w:r>
        <w:rPr>
          <w:rFonts w:hint="eastAsia" w:ascii="楷体" w:hAnsi="楷体" w:cs="楷体"/>
          <w:color w:val="auto"/>
          <w:sz w:val="32"/>
          <w:szCs w:val="32"/>
          <w:lang w:val="en-US" w:eastAsia="zh-CN"/>
        </w:rPr>
        <w:t>，政务信息更进一步</w:t>
      </w:r>
    </w:p>
    <w:p>
      <w:pPr>
        <w:jc w:val="both"/>
        <w:rPr>
          <w:rFonts w:hint="eastAsia"/>
          <w:lang w:val="en-US" w:eastAsia="zh-CN"/>
        </w:rPr>
      </w:pPr>
      <w:r>
        <w:rPr>
          <w:rFonts w:hint="eastAsia"/>
          <w:lang w:val="en-US" w:eastAsia="zh-CN"/>
        </w:rPr>
        <w:t>严格涉密人员管理，将新增外包、借调人员纳入管理范围。严格档案室等要害部位和涉密文件接收、发放管理，定期开展安全检查，确保保密安全“万无一失”。</w:t>
      </w:r>
      <w:r>
        <w:rPr>
          <w:rFonts w:hint="default"/>
          <w:color w:val="000000"/>
          <w:lang w:val="en-US" w:eastAsia="zh-CN"/>
        </w:rPr>
        <w:t>顺利完成支行1980-2022年度档案“双套制”（纸质+数字化副本）移交如东县档案馆，并根据市分行要求鉴定、移交、销毁相关文书档案、会计档案</w:t>
      </w:r>
      <w:r>
        <w:rPr>
          <w:rFonts w:hint="eastAsia"/>
          <w:color w:val="000000"/>
          <w:lang w:val="en-US" w:eastAsia="zh-CN"/>
        </w:rPr>
        <w:t>，扎实做好保密工作，通过强化教育管理、完善硬件设施，确保未发生丢失泄密和重大责任事故。</w:t>
      </w:r>
      <w:r>
        <w:rPr>
          <w:rFonts w:hint="eastAsia"/>
          <w:lang w:val="en-US" w:eastAsia="zh-CN"/>
        </w:rPr>
        <w:t>扩充“专项队伍”，将不同业务条线青年骨干纳入政务信息“专项小组”，发挥信息调研和舆情监测合力。积极开展对国库运行、外汇管理、货币政策执行和经济金融运行中的重点、热点问题的调研，并及时形成有特色、有深度的调研报告，为上级行和地方党政决策提供有益参考。</w:t>
      </w:r>
    </w:p>
    <w:p>
      <w:pPr>
        <w:pStyle w:val="4"/>
        <w:bidi w:val="0"/>
        <w:rPr>
          <w:rFonts w:hint="eastAsia"/>
          <w:lang w:val="en-US" w:eastAsia="zh-CN"/>
        </w:rPr>
      </w:pPr>
      <w:r>
        <w:rPr>
          <w:rFonts w:hint="eastAsia"/>
          <w:lang w:eastAsia="zh-CN"/>
        </w:rPr>
        <w:t>（二）</w:t>
      </w:r>
      <w:r>
        <w:rPr>
          <w:rFonts w:hint="eastAsia"/>
          <w:lang w:val="en-US" w:eastAsia="zh-CN"/>
        </w:rPr>
        <w:t>强化财务预算管理，精打细算“过紧日子”</w:t>
      </w:r>
    </w:p>
    <w:p>
      <w:pPr>
        <w:bidi w:val="0"/>
        <w:rPr>
          <w:rFonts w:hint="eastAsia"/>
          <w:lang w:val="en-US" w:eastAsia="zh-CN"/>
        </w:rPr>
      </w:pPr>
      <w:r>
        <w:rPr>
          <w:rFonts w:hint="eastAsia"/>
          <w:lang w:val="en-US" w:eastAsia="zh-CN"/>
        </w:rPr>
        <w:t>坚持继续“过紧日子”的理念，从严从紧加强预算收支管理，强化支出进度的预算管控，注重勤俭节约，集中预算资金保障支行刚性、重点支出，严格控制一般性支出。重点控制好“三公”经费、公务用车、等支出，坚持有保有压，合理安排支出，优先保障防控疫情支出、人员性支出、安全保卫、信息系统稳定运行等支行正常运转性支出。</w:t>
      </w:r>
      <w:r>
        <w:rPr>
          <w:rFonts w:hint="default"/>
          <w:color w:val="000000"/>
          <w:lang w:val="en-US" w:eastAsia="zh-CN"/>
        </w:rPr>
        <w:t>节能减排、档案管理等收获新成果。一是推动如东支行屋顶分布式光伏项目日前成功并网发电。该项目年平均发电量约5.9万度，自发自用率达70%，实现用电能耗压降40%，有效改善支行用能结构，实现清洁能源科学、合理、高效利用</w:t>
      </w:r>
      <w:r>
        <w:rPr>
          <w:rFonts w:hint="eastAsia"/>
          <w:lang w:val="en-US" w:eastAsia="zh-CN"/>
        </w:rPr>
        <w:t>。</w:t>
      </w:r>
    </w:p>
    <w:p>
      <w:pPr>
        <w:pStyle w:val="4"/>
        <w:bidi w:val="0"/>
        <w:rPr>
          <w:rFonts w:hint="eastAsia" w:ascii="Arial" w:hAnsi="Arial"/>
          <w:lang w:eastAsia="zh-CN"/>
        </w:rPr>
      </w:pPr>
      <w:r>
        <w:rPr>
          <w:rFonts w:hint="eastAsia" w:ascii="Arial" w:hAnsi="Arial"/>
          <w:lang w:eastAsia="zh-CN"/>
        </w:rPr>
        <w:t>（三）以人为本加强关怀，积极营造活泼向上氛围</w:t>
      </w:r>
    </w:p>
    <w:p>
      <w:pPr>
        <w:pStyle w:val="9"/>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color w:val="auto"/>
          <w:kern w:val="2"/>
          <w:sz w:val="32"/>
          <w:szCs w:val="32"/>
          <w:lang w:val="en-US" w:eastAsia="zh-CN"/>
        </w:rPr>
      </w:pPr>
      <w:r>
        <w:rPr>
          <w:rFonts w:hint="eastAsia" w:ascii="Calibri" w:hAnsi="Calibri" w:eastAsia="仿宋_GB2312" w:cs="Times New Roman"/>
          <w:spacing w:val="0"/>
          <w:kern w:val="2"/>
          <w:sz w:val="32"/>
          <w:szCs w:val="24"/>
          <w:lang w:val="en-US" w:eastAsia="zh-CN" w:bidi="ar-SA"/>
        </w:rPr>
        <w:t>拓宽民主管理渠道，加强宣传教育引导</w:t>
      </w:r>
      <w:r>
        <w:rPr>
          <w:rFonts w:hint="eastAsia" w:cs="Times New Roman"/>
          <w:spacing w:val="0"/>
          <w:kern w:val="2"/>
          <w:sz w:val="32"/>
          <w:szCs w:val="24"/>
          <w:lang w:val="en-US" w:eastAsia="zh-CN" w:bidi="ar-SA"/>
        </w:rPr>
        <w:t>。</w:t>
      </w:r>
      <w:r>
        <w:rPr>
          <w:rFonts w:hint="eastAsia" w:ascii="Calibri" w:hAnsi="Calibri" w:eastAsia="仿宋_GB2312" w:cs="Times New Roman"/>
          <w:spacing w:val="0"/>
          <w:kern w:val="2"/>
          <w:sz w:val="32"/>
          <w:szCs w:val="24"/>
          <w:lang w:val="en-US" w:eastAsia="zh-CN" w:bidi="ar-SA"/>
        </w:rPr>
        <w:t>抓好志愿服务宣传</w:t>
      </w:r>
      <w:r>
        <w:rPr>
          <w:rFonts w:hint="eastAsia" w:cs="Times New Roman"/>
          <w:spacing w:val="0"/>
          <w:kern w:val="2"/>
          <w:sz w:val="32"/>
          <w:szCs w:val="24"/>
          <w:lang w:val="en-US" w:eastAsia="zh-CN" w:bidi="ar-SA"/>
        </w:rPr>
        <w:t>，</w:t>
      </w:r>
      <w:r>
        <w:rPr>
          <w:rFonts w:hint="eastAsia" w:ascii="仿宋_GB2312" w:hAnsi="仿宋_GB2312" w:eastAsia="仿宋_GB2312" w:cs="仿宋_GB2312"/>
          <w:color w:val="auto"/>
          <w:kern w:val="2"/>
          <w:sz w:val="32"/>
          <w:szCs w:val="32"/>
          <w:lang w:val="en-US" w:eastAsia="zh-CN"/>
        </w:rPr>
        <w:t>以雷锋纪念日、“3.15”消费者权益保护日和金融知识宣传月为契机，</w:t>
      </w:r>
      <w:r>
        <w:rPr>
          <w:rFonts w:hint="eastAsia" w:ascii="仿宋_GB2312" w:hAnsi="仿宋_GB2312" w:cs="仿宋_GB2312"/>
          <w:color w:val="auto"/>
          <w:kern w:val="2"/>
          <w:sz w:val="32"/>
          <w:szCs w:val="32"/>
          <w:lang w:val="en-US" w:eastAsia="zh-CN"/>
        </w:rPr>
        <w:t>精心组织</w:t>
      </w:r>
      <w:r>
        <w:rPr>
          <w:rFonts w:hint="eastAsia" w:ascii="仿宋_GB2312" w:hAnsi="仿宋_GB2312" w:eastAsia="仿宋_GB2312" w:cs="仿宋_GB2312"/>
          <w:color w:val="auto"/>
          <w:kern w:val="2"/>
          <w:sz w:val="32"/>
          <w:szCs w:val="32"/>
          <w:lang w:val="en-US" w:eastAsia="zh-CN"/>
        </w:rPr>
        <w:t>国债、反洗钱、反赌反诈、反假、个人征信等志愿宣传活动。</w:t>
      </w:r>
      <w:r>
        <w:rPr>
          <w:rFonts w:hint="eastAsia" w:ascii="Calibri" w:hAnsi="Calibri" w:eastAsia="仿宋_GB2312" w:cs="Times New Roman"/>
          <w:spacing w:val="0"/>
          <w:kern w:val="2"/>
          <w:sz w:val="32"/>
          <w:szCs w:val="24"/>
          <w:lang w:val="en-US" w:eastAsia="zh-CN" w:bidi="ar-SA"/>
        </w:rPr>
        <w:t>奉献爱心传递温情</w:t>
      </w:r>
      <w:r>
        <w:rPr>
          <w:rFonts w:hint="eastAsia" w:cs="Times New Roman"/>
          <w:spacing w:val="0"/>
          <w:kern w:val="2"/>
          <w:sz w:val="32"/>
          <w:szCs w:val="24"/>
          <w:lang w:val="en-US" w:eastAsia="zh-CN" w:bidi="ar-SA"/>
        </w:rPr>
        <w:t>，把困难职工、结对帮扶对象的冷暖放在心上，传承助人精神，互助奉献友爱。</w:t>
      </w:r>
      <w:r>
        <w:rPr>
          <w:rFonts w:hint="eastAsia" w:ascii="仿宋_GB2312" w:hAnsi="仿宋_GB2312" w:eastAsia="仿宋_GB2312" w:cs="仿宋_GB2312"/>
          <w:color w:val="auto"/>
          <w:kern w:val="2"/>
          <w:sz w:val="32"/>
          <w:szCs w:val="32"/>
          <w:lang w:val="en-US" w:eastAsia="zh-CN"/>
        </w:rPr>
        <w:t>进一步激励女职工为支行高质量发展贡献力量。</w:t>
      </w:r>
      <w:r>
        <w:rPr>
          <w:rFonts w:hint="eastAsia" w:ascii="仿宋_GB2312" w:hAnsi="仿宋_GB2312" w:cs="仿宋_GB2312"/>
          <w:color w:val="auto"/>
          <w:kern w:val="2"/>
          <w:sz w:val="32"/>
          <w:szCs w:val="32"/>
          <w:lang w:val="en-US" w:eastAsia="zh-CN"/>
        </w:rPr>
        <w:t>支行荣获2021-2022年度“市级文明单位”称号，为进一步培育良好道德风尚提供了优渥的土壤。</w:t>
      </w:r>
    </w:p>
    <w:p>
      <w:pPr>
        <w:pStyle w:val="3"/>
        <w:bidi w:val="0"/>
        <w:rPr>
          <w:rFonts w:hint="default"/>
          <w:lang w:val="en-US" w:eastAsia="zh-CN"/>
        </w:rPr>
      </w:pPr>
      <w:r>
        <w:rPr>
          <w:rFonts w:hint="eastAsia"/>
          <w:lang w:val="en-US" w:eastAsia="zh-CN"/>
        </w:rPr>
        <w:t>六</w:t>
      </w:r>
      <w:r>
        <w:rPr>
          <w:rFonts w:hint="default"/>
          <w:lang w:val="en-US" w:eastAsia="zh-CN"/>
        </w:rPr>
        <w:t>、</w:t>
      </w:r>
      <w:r>
        <w:rPr>
          <w:lang w:val="en-US" w:eastAsia="zh-CN"/>
        </w:rPr>
        <w:t>持之以恒</w:t>
      </w:r>
      <w:r>
        <w:rPr>
          <w:rFonts w:hint="eastAsia"/>
          <w:lang w:val="en-US" w:eastAsia="zh-CN"/>
        </w:rPr>
        <w:t>盯紧把牢理论开关，压实责任践行使命担当</w:t>
      </w:r>
    </w:p>
    <w:p>
      <w:pPr>
        <w:pStyle w:val="4"/>
        <w:bidi w:val="0"/>
        <w:rPr>
          <w:rFonts w:hint="default"/>
          <w:lang w:val="en-US" w:eastAsia="zh-CN"/>
        </w:rPr>
      </w:pPr>
      <w:r>
        <w:rPr>
          <w:rFonts w:hint="default"/>
          <w:lang w:val="en-US" w:eastAsia="zh-CN"/>
        </w:rPr>
        <w:t>（一）强化理论武装，筑牢思想根基。</w:t>
      </w:r>
    </w:p>
    <w:p>
      <w:pPr>
        <w:jc w:val="both"/>
        <w:rPr>
          <w:rFonts w:hint="default"/>
          <w:color w:val="000000"/>
          <w:lang w:val="en-US" w:eastAsia="zh-CN"/>
        </w:rPr>
      </w:pPr>
      <w:r>
        <w:rPr>
          <w:rFonts w:hint="default"/>
          <w:color w:val="000000"/>
          <w:lang w:val="en-US" w:eastAsia="zh-CN"/>
        </w:rPr>
        <w:t>支行始终把理论学习摆到重要位置，坚持用习近平新时代中国特色社会主义思想武装头脑、指导实践、推动工作。制定主题教育实施方案和干部队伍教育整顿任务清单，高起点高标准推动主题教育扎实展开。依托主题党日、党员大会、理论学习中心组学习，组织党员开展集中学习活动，实现党员自主学习、集中培训、互动交流。全年组织</w:t>
      </w:r>
      <w:r>
        <w:rPr>
          <w:rFonts w:hint="eastAsia"/>
          <w:color w:val="000000"/>
          <w:lang w:val="en-US" w:eastAsia="zh-CN"/>
        </w:rPr>
        <w:t>开展干部</w:t>
      </w:r>
      <w:r>
        <w:rPr>
          <w:rFonts w:hint="default"/>
          <w:color w:val="000000"/>
          <w:lang w:val="en-US" w:eastAsia="zh-CN"/>
        </w:rPr>
        <w:t>集中学习12次，上党课3次，通过座谈交流、撰写心得体会将理论知识融会贯通，整体素质和战斗力得到全面提升。</w:t>
      </w:r>
    </w:p>
    <w:p>
      <w:pPr>
        <w:pStyle w:val="4"/>
        <w:bidi w:val="0"/>
        <w:rPr>
          <w:rFonts w:hint="default"/>
          <w:lang w:val="en-US" w:eastAsia="zh-CN"/>
        </w:rPr>
      </w:pPr>
      <w:r>
        <w:rPr>
          <w:rFonts w:hint="default"/>
          <w:lang w:val="en-US" w:eastAsia="zh-CN"/>
        </w:rPr>
        <w:t>（二）注重组织建设，夯实工作基础。</w:t>
      </w:r>
    </w:p>
    <w:p>
      <w:pPr>
        <w:jc w:val="both"/>
        <w:rPr>
          <w:rFonts w:hint="eastAsia"/>
          <w:lang w:eastAsia="zh-CN"/>
        </w:rPr>
      </w:pPr>
      <w:r>
        <w:rPr>
          <w:rFonts w:hint="default"/>
          <w:color w:val="000000"/>
          <w:lang w:val="en-US" w:eastAsia="zh-CN"/>
        </w:rPr>
        <w:t>一是严肃党内政治生活，认真落实“民主生活会”“三会一课”“主题党日”等党内制度，组织召开党员大会2次、支委会12次、主题党日活动12次，组织生活会1次，确保党内制度规范运行。二是组织开展“牢记嘱托、感恩奋进、走在前列”系列主题党日活动，引导党员干部带着嘱托、带着感情、带着责任学习贯彻习近平总书记关于江苏工作和金融工作的重要讲话和重要指示批示精神。三是就近就便利用红十四军纪念馆、新四军纪念馆等红色资源开展党性教育，丰富意识形态教育形式，强化责任担当，筑牢基层意识形态阵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OTEyOGQzZTA5ZjUxY2MyN2YwMzkwMzkzMDJmNmYifQ=="/>
  </w:docVars>
  <w:rsids>
    <w:rsidRoot w:val="42521DC5"/>
    <w:rsid w:val="04347E06"/>
    <w:rsid w:val="08E11A49"/>
    <w:rsid w:val="15AC3C0A"/>
    <w:rsid w:val="17364E5F"/>
    <w:rsid w:val="190B3FF3"/>
    <w:rsid w:val="1F52137F"/>
    <w:rsid w:val="208D1F96"/>
    <w:rsid w:val="22EC1AEA"/>
    <w:rsid w:val="25D4174D"/>
    <w:rsid w:val="2BF96140"/>
    <w:rsid w:val="306F1B2F"/>
    <w:rsid w:val="31702EBD"/>
    <w:rsid w:val="384F4255"/>
    <w:rsid w:val="39207CEA"/>
    <w:rsid w:val="4006328E"/>
    <w:rsid w:val="40A7130B"/>
    <w:rsid w:val="42521DC5"/>
    <w:rsid w:val="47CF450E"/>
    <w:rsid w:val="55853D33"/>
    <w:rsid w:val="5D0A154C"/>
    <w:rsid w:val="5D882B80"/>
    <w:rsid w:val="66D778CA"/>
    <w:rsid w:val="68B15541"/>
    <w:rsid w:val="69733AAD"/>
    <w:rsid w:val="6C0579E0"/>
    <w:rsid w:val="73695083"/>
    <w:rsid w:val="7B7875B2"/>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640" w:firstLineChars="200"/>
      <w:jc w:val="left"/>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520" w:lineRule="exact"/>
      <w:ind w:firstLine="640" w:firstLineChars="20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520" w:lineRule="exact"/>
      <w:ind w:firstLine="640" w:firstLineChars="200"/>
      <w:jc w:val="left"/>
      <w:outlineLvl w:val="1"/>
    </w:pPr>
    <w:rPr>
      <w:rFonts w:ascii="Arial" w:hAnsi="Arial" w:eastAsia="楷体"/>
      <w:sz w:val="32"/>
    </w:rPr>
  </w:style>
  <w:style w:type="paragraph" w:styleId="5">
    <w:name w:val="heading 3"/>
    <w:basedOn w:val="1"/>
    <w:next w:val="1"/>
    <w:unhideWhenUsed/>
    <w:qFormat/>
    <w:uiPriority w:val="0"/>
    <w:pPr>
      <w:keepNext/>
      <w:keepLines/>
      <w:spacing w:beforeLines="0" w:beforeAutospacing="0" w:afterLines="0" w:afterAutospacing="0" w:line="520" w:lineRule="exact"/>
      <w:jc w:val="left"/>
      <w:outlineLvl w:val="2"/>
    </w:pPr>
    <w:rPr>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djustRightInd w:val="0"/>
      <w:snapToGrid/>
      <w:ind w:firstLine="0"/>
      <w:jc w:val="left"/>
    </w:pPr>
    <w:rPr>
      <w:spacing w:val="-25"/>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7"/>
    <w:basedOn w:val="1"/>
    <w:unhideWhenUsed/>
    <w:qFormat/>
    <w:uiPriority w:val="3"/>
    <w:pPr>
      <w:widowControl/>
      <w:ind w:firstLine="420"/>
    </w:pPr>
    <w:rPr>
      <w:rFonts w:hint="eastAsia"/>
      <w:kern w:val="0"/>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4249</Words>
  <Characters>4461</Characters>
  <Lines>0</Lines>
  <Paragraphs>0</Paragraphs>
  <TotalTime>13</TotalTime>
  <ScaleCrop>false</ScaleCrop>
  <LinksUpToDate>false</LinksUpToDate>
  <CharactersWithSpaces>4461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2023-11-06T00:52:00Z</dcterms:created>
  <dc:creator>沈晓琳</dc:creator>
  <cp:lastModifiedBy>沈晓琳</cp:lastModifiedBy>
  <dcterms:modified xsi:type="dcterms:W3CDTF">2024-03-11T09:06:56Z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6A79C46B6BD64DF2B7895A60DB4F37E7_12</vt:lpwstr>
  </property>
</Properties>
</file>