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bookmarkStart w:id="0" w:name="_Toc457910368"/>
      <w:bookmarkStart w:id="1" w:name="_Toc113314385"/>
      <w:bookmarkStart w:id="2" w:name="_Toc235082326"/>
      <w:bookmarkStart w:id="3" w:name="_Toc225591603"/>
      <w:bookmarkStart w:id="4" w:name="_Toc185058569"/>
      <w:bookmarkStart w:id="5" w:name="_Toc241660756"/>
    </w:p>
    <w:p>
      <w:pPr>
        <w:jc w:val="center"/>
        <w:rPr>
          <w:sz w:val="52"/>
          <w:szCs w:val="52"/>
        </w:rPr>
      </w:pPr>
    </w:p>
    <w:p>
      <w:pPr>
        <w:jc w:val="center"/>
        <w:rPr>
          <w:sz w:val="48"/>
          <w:szCs w:val="48"/>
        </w:rPr>
      </w:pPr>
    </w:p>
    <w:bookmarkEnd w:id="0"/>
    <w:p>
      <w:pPr>
        <w:tabs>
          <w:tab w:val="left" w:pos="8789"/>
        </w:tabs>
        <w:spacing w:line="360" w:lineRule="auto"/>
        <w:jc w:val="center"/>
        <w:rPr>
          <w:rFonts w:eastAsia="华文新魏"/>
          <w:sz w:val="56"/>
          <w:szCs w:val="56"/>
        </w:rPr>
      </w:pPr>
      <w:bookmarkStart w:id="6" w:name="_Hlk122962911"/>
      <w:r>
        <w:rPr>
          <w:rFonts w:hint="eastAsia" w:eastAsia="华文新魏"/>
          <w:sz w:val="56"/>
          <w:szCs w:val="56"/>
        </w:rPr>
        <w:t>南通市如东县丰利镇工业集中区开发建设规划（202</w:t>
      </w:r>
      <w:r>
        <w:rPr>
          <w:rFonts w:eastAsia="华文新魏"/>
          <w:sz w:val="56"/>
          <w:szCs w:val="56"/>
        </w:rPr>
        <w:t>3</w:t>
      </w:r>
      <w:r>
        <w:rPr>
          <w:rFonts w:hint="eastAsia" w:eastAsia="华文新魏"/>
          <w:sz w:val="56"/>
          <w:szCs w:val="56"/>
        </w:rPr>
        <w:t>-2035年）</w:t>
      </w:r>
    </w:p>
    <w:bookmarkEnd w:id="6"/>
    <w:p>
      <w:pPr>
        <w:tabs>
          <w:tab w:val="left" w:pos="8789"/>
        </w:tabs>
        <w:spacing w:line="360" w:lineRule="auto"/>
        <w:jc w:val="center"/>
        <w:rPr>
          <w:rFonts w:eastAsia="华文新魏"/>
          <w:sz w:val="48"/>
          <w:szCs w:val="48"/>
        </w:rPr>
      </w:pPr>
    </w:p>
    <w:p>
      <w:pPr>
        <w:tabs>
          <w:tab w:val="left" w:pos="8789"/>
        </w:tabs>
        <w:spacing w:line="360" w:lineRule="auto"/>
        <w:jc w:val="center"/>
        <w:rPr>
          <w:rFonts w:eastAsia="华文新魏"/>
          <w:sz w:val="56"/>
          <w:szCs w:val="56"/>
        </w:rPr>
      </w:pPr>
      <w:r>
        <w:rPr>
          <w:rFonts w:eastAsia="华文新魏"/>
          <w:sz w:val="56"/>
          <w:szCs w:val="56"/>
        </w:rPr>
        <w:t>环境影响报告书</w:t>
      </w:r>
    </w:p>
    <w:p>
      <w:pPr>
        <w:tabs>
          <w:tab w:val="left" w:pos="8789"/>
        </w:tabs>
        <w:spacing w:line="360" w:lineRule="auto"/>
        <w:jc w:val="center"/>
        <w:rPr>
          <w:rFonts w:eastAsia="华文新魏"/>
          <w:sz w:val="56"/>
          <w:szCs w:val="56"/>
        </w:rPr>
      </w:pPr>
      <w:r>
        <w:rPr>
          <w:rFonts w:eastAsia="华文新魏"/>
          <w:sz w:val="56"/>
          <w:szCs w:val="56"/>
        </w:rPr>
        <w:t>（</w:t>
      </w:r>
      <w:r>
        <w:rPr>
          <w:rFonts w:hint="eastAsia" w:eastAsia="华文新魏"/>
          <w:sz w:val="56"/>
          <w:szCs w:val="56"/>
        </w:rPr>
        <w:t>征求意见</w:t>
      </w:r>
      <w:r>
        <w:rPr>
          <w:rFonts w:eastAsia="华文新魏"/>
          <w:sz w:val="56"/>
          <w:szCs w:val="56"/>
        </w:rPr>
        <w:t>稿）</w:t>
      </w:r>
    </w:p>
    <w:p>
      <w:pPr>
        <w:tabs>
          <w:tab w:val="left" w:pos="8789"/>
        </w:tabs>
        <w:spacing w:line="360" w:lineRule="auto"/>
        <w:jc w:val="center"/>
        <w:rPr>
          <w:rFonts w:eastAsia="华文新魏"/>
          <w:sz w:val="72"/>
          <w:szCs w:val="72"/>
        </w:rPr>
      </w:pPr>
    </w:p>
    <w:p>
      <w:pPr>
        <w:tabs>
          <w:tab w:val="left" w:pos="8789"/>
        </w:tabs>
        <w:spacing w:line="360" w:lineRule="auto"/>
        <w:jc w:val="center"/>
        <w:rPr>
          <w:rFonts w:eastAsia="华文新魏"/>
          <w:sz w:val="84"/>
          <w:szCs w:val="84"/>
        </w:rPr>
      </w:pPr>
    </w:p>
    <w:p>
      <w:pPr>
        <w:tabs>
          <w:tab w:val="left" w:pos="8789"/>
        </w:tabs>
        <w:spacing w:line="360" w:lineRule="auto"/>
        <w:jc w:val="center"/>
        <w:rPr>
          <w:rFonts w:eastAsia="华文新魏"/>
          <w:sz w:val="84"/>
          <w:szCs w:val="84"/>
        </w:rPr>
      </w:pPr>
    </w:p>
    <w:p>
      <w:pPr>
        <w:tabs>
          <w:tab w:val="left" w:pos="8789"/>
        </w:tabs>
        <w:spacing w:line="360" w:lineRule="auto"/>
        <w:jc w:val="center"/>
        <w:rPr>
          <w:rFonts w:eastAsia="华文新魏"/>
          <w:sz w:val="84"/>
          <w:szCs w:val="84"/>
        </w:rPr>
      </w:pPr>
    </w:p>
    <w:p>
      <w:pPr>
        <w:jc w:val="center"/>
        <w:rPr>
          <w:rFonts w:eastAsia="华文新魏"/>
          <w:bCs/>
          <w:sz w:val="32"/>
          <w:szCs w:val="32"/>
        </w:rPr>
      </w:pPr>
      <w:bookmarkStart w:id="7" w:name="_Hlk135297704"/>
      <w:r>
        <w:rPr>
          <w:rFonts w:eastAsia="华文新魏"/>
          <w:bCs/>
          <w:sz w:val="32"/>
          <w:szCs w:val="32"/>
        </w:rPr>
        <w:t>规划实施单位：</w:t>
      </w:r>
      <w:bookmarkStart w:id="8" w:name="_Hlk103759250"/>
      <w:r>
        <w:rPr>
          <w:rFonts w:hint="eastAsia" w:eastAsia="华文新魏"/>
          <w:bCs/>
          <w:sz w:val="32"/>
          <w:szCs w:val="32"/>
        </w:rPr>
        <w:t>如东县丰利镇人民政府</w:t>
      </w:r>
      <w:bookmarkEnd w:id="8"/>
    </w:p>
    <w:p>
      <w:pPr>
        <w:jc w:val="center"/>
        <w:rPr>
          <w:rFonts w:eastAsia="华文新魏"/>
          <w:bCs/>
          <w:sz w:val="32"/>
          <w:szCs w:val="32"/>
        </w:rPr>
      </w:pPr>
      <w:r>
        <w:rPr>
          <w:rFonts w:eastAsia="华文新魏"/>
          <w:bCs/>
          <w:sz w:val="32"/>
          <w:szCs w:val="32"/>
        </w:rPr>
        <w:t>编制单位：南京大学环境规划设计研究院集团股份公司</w:t>
      </w:r>
    </w:p>
    <w:bookmarkEnd w:id="7"/>
    <w:p>
      <w:pPr>
        <w:jc w:val="center"/>
        <w:rPr>
          <w:rFonts w:eastAsia="华文新魏"/>
          <w:bCs/>
          <w:sz w:val="32"/>
          <w:szCs w:val="32"/>
        </w:rPr>
      </w:pPr>
      <w:r>
        <w:rPr>
          <w:rFonts w:eastAsia="华文新魏"/>
          <w:bCs/>
          <w:sz w:val="32"/>
          <w:szCs w:val="32"/>
        </w:rPr>
        <w:t>二</w:t>
      </w:r>
      <w:r>
        <w:rPr>
          <w:bCs/>
          <w:sz w:val="32"/>
          <w:szCs w:val="32"/>
        </w:rPr>
        <w:t>〇</w:t>
      </w:r>
      <w:r>
        <w:rPr>
          <w:rFonts w:eastAsia="华文新魏"/>
          <w:bCs/>
          <w:sz w:val="32"/>
          <w:szCs w:val="32"/>
        </w:rPr>
        <w:t>二</w:t>
      </w:r>
      <w:r>
        <w:rPr>
          <w:rFonts w:hint="eastAsia" w:eastAsia="华文新魏"/>
          <w:bCs/>
          <w:sz w:val="32"/>
          <w:szCs w:val="32"/>
        </w:rPr>
        <w:t>三</w:t>
      </w:r>
      <w:r>
        <w:rPr>
          <w:rFonts w:eastAsia="华文新魏"/>
          <w:bCs/>
          <w:sz w:val="32"/>
          <w:szCs w:val="32"/>
        </w:rPr>
        <w:t>年</w:t>
      </w:r>
      <w:r>
        <w:rPr>
          <w:rFonts w:hint="eastAsia" w:eastAsia="华文新魏"/>
          <w:bCs/>
          <w:sz w:val="32"/>
          <w:szCs w:val="32"/>
        </w:rPr>
        <w:t>十</w:t>
      </w:r>
      <w:r>
        <w:rPr>
          <w:rFonts w:eastAsia="华文新魏"/>
          <w:bCs/>
          <w:sz w:val="32"/>
          <w:szCs w:val="32"/>
        </w:rPr>
        <w:t>月</w:t>
      </w:r>
    </w:p>
    <w:p>
      <w:pPr>
        <w:jc w:val="center"/>
        <w:rPr>
          <w:rFonts w:eastAsia="仿宋_GB2312"/>
          <w:b/>
          <w:color w:val="FF0000"/>
          <w:sz w:val="32"/>
        </w:rPr>
      </w:pPr>
      <w:r>
        <w:rPr>
          <w:rFonts w:eastAsia="仿宋_GB2312"/>
          <w:b/>
          <w:color w:val="FF0000"/>
          <w:sz w:val="32"/>
        </w:rPr>
        <w:br w:type="page"/>
      </w:r>
    </w:p>
    <w:p>
      <w:pPr>
        <w:spacing w:line="360" w:lineRule="auto"/>
        <w:jc w:val="center"/>
        <w:rPr>
          <w:rFonts w:eastAsia="仿宋_GB2312"/>
          <w:b/>
          <w:sz w:val="32"/>
          <w:szCs w:val="32"/>
        </w:rPr>
      </w:pPr>
      <w:r>
        <w:rPr>
          <w:rFonts w:eastAsia="仿宋_GB2312"/>
          <w:b/>
          <w:sz w:val="32"/>
          <w:szCs w:val="32"/>
        </w:rPr>
        <w:t>目</w:t>
      </w:r>
      <w:r>
        <w:rPr>
          <w:rFonts w:hint="eastAsia" w:eastAsia="仿宋_GB2312"/>
          <w:b/>
          <w:sz w:val="32"/>
          <w:szCs w:val="32"/>
        </w:rPr>
        <w:t xml:space="preserve"> </w:t>
      </w:r>
      <w:r>
        <w:rPr>
          <w:rFonts w:eastAsia="仿宋_GB2312"/>
          <w:b/>
          <w:sz w:val="32"/>
          <w:szCs w:val="32"/>
        </w:rPr>
        <w:t xml:space="preserve"> 录</w:t>
      </w:r>
    </w:p>
    <w:p>
      <w:pPr>
        <w:pStyle w:val="14"/>
        <w:rPr>
          <w:rFonts w:asciiTheme="minorHAnsi" w:hAnsiTheme="minorHAnsi" w:eastAsiaTheme="minorEastAsia" w:cstheme="minorBidi"/>
        </w:rPr>
      </w:pPr>
      <w:r>
        <w:rPr>
          <w:color w:val="FF0000"/>
        </w:rPr>
        <w:fldChar w:fldCharType="begin"/>
      </w:r>
      <w:r>
        <w:rPr>
          <w:color w:val="FF0000"/>
        </w:rPr>
        <w:instrText xml:space="preserve"> TOC \o "1-2" \h \z \u </w:instrText>
      </w:r>
      <w:r>
        <w:rPr>
          <w:color w:val="FF0000"/>
        </w:rPr>
        <w:fldChar w:fldCharType="separate"/>
      </w:r>
      <w:r>
        <w:fldChar w:fldCharType="begin"/>
      </w:r>
      <w:r>
        <w:instrText xml:space="preserve"> HYPERLINK \l "_Toc86679246" </w:instrText>
      </w:r>
      <w:r>
        <w:fldChar w:fldCharType="separate"/>
      </w:r>
      <w:r>
        <w:rPr>
          <w:rStyle w:val="21"/>
          <w:b/>
          <w:bCs w:val="0"/>
        </w:rPr>
        <w:t>1 任务由来及规划概述</w:t>
      </w:r>
      <w:r>
        <w:tab/>
      </w:r>
      <w:r>
        <w:fldChar w:fldCharType="begin"/>
      </w:r>
      <w:r>
        <w:instrText xml:space="preserve"> PAGEREF _Toc86679246 \h </w:instrText>
      </w:r>
      <w:r>
        <w:fldChar w:fldCharType="separate"/>
      </w:r>
      <w:r>
        <w:t>1</w:t>
      </w:r>
      <w:r>
        <w:fldChar w:fldCharType="end"/>
      </w:r>
      <w:r>
        <w:fldChar w:fldCharType="end"/>
      </w:r>
    </w:p>
    <w:p>
      <w:pPr>
        <w:pStyle w:val="15"/>
        <w:tabs>
          <w:tab w:val="right" w:leader="dot" w:pos="8296"/>
        </w:tabs>
        <w:spacing w:line="500" w:lineRule="exact"/>
        <w:rPr>
          <w:rFonts w:eastAsia="仿宋_GB2312"/>
          <w:sz w:val="24"/>
        </w:rPr>
      </w:pPr>
      <w:r>
        <w:fldChar w:fldCharType="begin"/>
      </w:r>
      <w:r>
        <w:instrText xml:space="preserve"> HYPERLINK \l "_Toc86679247" </w:instrText>
      </w:r>
      <w:r>
        <w:fldChar w:fldCharType="separate"/>
      </w:r>
      <w:r>
        <w:rPr>
          <w:rStyle w:val="21"/>
          <w:rFonts w:eastAsia="仿宋_GB2312"/>
          <w:sz w:val="24"/>
        </w:rPr>
        <w:t>1.1 任务由来</w:t>
      </w:r>
      <w:r>
        <w:rPr>
          <w:rFonts w:eastAsia="仿宋_GB2312"/>
          <w:sz w:val="24"/>
        </w:rPr>
        <w:tab/>
      </w:r>
      <w:r>
        <w:rPr>
          <w:rFonts w:eastAsia="仿宋_GB2312"/>
          <w:sz w:val="24"/>
        </w:rPr>
        <w:fldChar w:fldCharType="begin"/>
      </w:r>
      <w:r>
        <w:rPr>
          <w:rFonts w:eastAsia="仿宋_GB2312"/>
          <w:sz w:val="24"/>
        </w:rPr>
        <w:instrText xml:space="preserve"> PAGEREF _Toc86679247 \h </w:instrText>
      </w:r>
      <w:r>
        <w:rPr>
          <w:rFonts w:eastAsia="仿宋_GB2312"/>
          <w:sz w:val="24"/>
        </w:rPr>
        <w:fldChar w:fldCharType="separate"/>
      </w:r>
      <w:r>
        <w:rPr>
          <w:rFonts w:eastAsia="仿宋_GB2312"/>
          <w:sz w:val="24"/>
        </w:rPr>
        <w:t>1</w:t>
      </w:r>
      <w:r>
        <w:rPr>
          <w:rFonts w:eastAsia="仿宋_GB2312"/>
          <w:sz w:val="24"/>
        </w:rPr>
        <w:fldChar w:fldCharType="end"/>
      </w:r>
      <w:r>
        <w:rPr>
          <w:rFonts w:eastAsia="仿宋_GB2312"/>
          <w:sz w:val="24"/>
        </w:rPr>
        <w:fldChar w:fldCharType="end"/>
      </w:r>
    </w:p>
    <w:p>
      <w:pPr>
        <w:pStyle w:val="15"/>
        <w:tabs>
          <w:tab w:val="right" w:leader="dot" w:pos="8296"/>
        </w:tabs>
        <w:spacing w:line="500" w:lineRule="exact"/>
        <w:rPr>
          <w:rFonts w:eastAsia="仿宋_GB2312"/>
          <w:sz w:val="24"/>
        </w:rPr>
      </w:pPr>
      <w:r>
        <w:fldChar w:fldCharType="begin"/>
      </w:r>
      <w:r>
        <w:instrText xml:space="preserve"> HYPERLINK \l "_Toc86679248" </w:instrText>
      </w:r>
      <w:r>
        <w:fldChar w:fldCharType="separate"/>
      </w:r>
      <w:r>
        <w:rPr>
          <w:rStyle w:val="21"/>
          <w:rFonts w:eastAsia="仿宋_GB2312"/>
          <w:sz w:val="24"/>
        </w:rPr>
        <w:t>1.2 规划范围和期限</w:t>
      </w:r>
      <w:r>
        <w:rPr>
          <w:rFonts w:eastAsia="仿宋_GB2312"/>
          <w:sz w:val="24"/>
        </w:rPr>
        <w:tab/>
      </w:r>
      <w:r>
        <w:rPr>
          <w:rFonts w:eastAsia="仿宋_GB2312"/>
          <w:sz w:val="24"/>
        </w:rPr>
        <w:fldChar w:fldCharType="begin"/>
      </w:r>
      <w:r>
        <w:rPr>
          <w:rFonts w:eastAsia="仿宋_GB2312"/>
          <w:sz w:val="24"/>
        </w:rPr>
        <w:instrText xml:space="preserve"> PAGEREF _Toc86679248 \h </w:instrText>
      </w:r>
      <w:r>
        <w:rPr>
          <w:rFonts w:eastAsia="仿宋_GB2312"/>
          <w:sz w:val="24"/>
        </w:rPr>
        <w:fldChar w:fldCharType="separate"/>
      </w:r>
      <w:r>
        <w:rPr>
          <w:rFonts w:eastAsia="仿宋_GB2312"/>
          <w:sz w:val="24"/>
        </w:rPr>
        <w:t>1</w:t>
      </w:r>
      <w:r>
        <w:rPr>
          <w:rFonts w:eastAsia="仿宋_GB2312"/>
          <w:sz w:val="24"/>
        </w:rPr>
        <w:fldChar w:fldCharType="end"/>
      </w:r>
      <w:r>
        <w:rPr>
          <w:rFonts w:eastAsia="仿宋_GB2312"/>
          <w:sz w:val="24"/>
        </w:rPr>
        <w:fldChar w:fldCharType="end"/>
      </w:r>
    </w:p>
    <w:p>
      <w:pPr>
        <w:pStyle w:val="15"/>
        <w:tabs>
          <w:tab w:val="right" w:leader="dot" w:pos="8296"/>
        </w:tabs>
        <w:spacing w:line="500" w:lineRule="exact"/>
        <w:rPr>
          <w:rFonts w:eastAsia="仿宋_GB2312"/>
          <w:sz w:val="24"/>
        </w:rPr>
      </w:pPr>
      <w:r>
        <w:fldChar w:fldCharType="begin"/>
      </w:r>
      <w:r>
        <w:instrText xml:space="preserve"> HYPERLINK \l "_Toc86679249" </w:instrText>
      </w:r>
      <w:r>
        <w:fldChar w:fldCharType="separate"/>
      </w:r>
      <w:r>
        <w:rPr>
          <w:rStyle w:val="21"/>
          <w:rFonts w:eastAsia="仿宋_GB2312"/>
          <w:sz w:val="24"/>
        </w:rPr>
        <w:t>1.3 发展目标</w:t>
      </w:r>
      <w:r>
        <w:rPr>
          <w:rFonts w:eastAsia="仿宋_GB2312"/>
          <w:sz w:val="24"/>
        </w:rPr>
        <w:tab/>
      </w:r>
      <w:r>
        <w:rPr>
          <w:rFonts w:eastAsia="仿宋_GB2312"/>
          <w:sz w:val="24"/>
        </w:rPr>
        <w:fldChar w:fldCharType="begin"/>
      </w:r>
      <w:r>
        <w:rPr>
          <w:rFonts w:eastAsia="仿宋_GB2312"/>
          <w:sz w:val="24"/>
        </w:rPr>
        <w:instrText xml:space="preserve"> PAGEREF _Toc86679249 \h </w:instrText>
      </w:r>
      <w:r>
        <w:rPr>
          <w:rFonts w:eastAsia="仿宋_GB2312"/>
          <w:sz w:val="24"/>
        </w:rPr>
        <w:fldChar w:fldCharType="separate"/>
      </w:r>
      <w:r>
        <w:rPr>
          <w:rFonts w:eastAsia="仿宋_GB2312"/>
          <w:sz w:val="24"/>
        </w:rPr>
        <w:t>2</w:t>
      </w:r>
      <w:r>
        <w:rPr>
          <w:rFonts w:eastAsia="仿宋_GB2312"/>
          <w:sz w:val="24"/>
        </w:rPr>
        <w:fldChar w:fldCharType="end"/>
      </w:r>
      <w:r>
        <w:rPr>
          <w:rFonts w:eastAsia="仿宋_GB2312"/>
          <w:sz w:val="24"/>
        </w:rPr>
        <w:fldChar w:fldCharType="end"/>
      </w:r>
    </w:p>
    <w:p>
      <w:pPr>
        <w:pStyle w:val="15"/>
        <w:tabs>
          <w:tab w:val="right" w:leader="dot" w:pos="8296"/>
        </w:tabs>
        <w:spacing w:line="500" w:lineRule="exact"/>
        <w:rPr>
          <w:rFonts w:eastAsia="仿宋_GB2312"/>
          <w:sz w:val="24"/>
        </w:rPr>
      </w:pPr>
      <w:r>
        <w:fldChar w:fldCharType="begin"/>
      </w:r>
      <w:r>
        <w:instrText xml:space="preserve"> HYPERLINK \l "_Toc86679250" </w:instrText>
      </w:r>
      <w:r>
        <w:fldChar w:fldCharType="separate"/>
      </w:r>
      <w:r>
        <w:rPr>
          <w:rStyle w:val="21"/>
          <w:rFonts w:eastAsia="仿宋_GB2312"/>
          <w:sz w:val="24"/>
        </w:rPr>
        <w:t>1.4 产业定位</w:t>
      </w:r>
      <w:r>
        <w:rPr>
          <w:rFonts w:eastAsia="仿宋_GB2312"/>
          <w:sz w:val="24"/>
        </w:rPr>
        <w:tab/>
      </w:r>
      <w:r>
        <w:rPr>
          <w:rFonts w:eastAsia="仿宋_GB2312"/>
          <w:sz w:val="24"/>
        </w:rPr>
        <w:fldChar w:fldCharType="begin"/>
      </w:r>
      <w:r>
        <w:rPr>
          <w:rFonts w:eastAsia="仿宋_GB2312"/>
          <w:sz w:val="24"/>
        </w:rPr>
        <w:instrText xml:space="preserve"> PAGEREF _Toc86679250 \h </w:instrText>
      </w:r>
      <w:r>
        <w:rPr>
          <w:rFonts w:eastAsia="仿宋_GB2312"/>
          <w:sz w:val="24"/>
        </w:rPr>
        <w:fldChar w:fldCharType="separate"/>
      </w:r>
      <w:r>
        <w:rPr>
          <w:rFonts w:eastAsia="仿宋_GB2312"/>
          <w:sz w:val="24"/>
        </w:rPr>
        <w:t>2</w:t>
      </w:r>
      <w:r>
        <w:rPr>
          <w:rFonts w:eastAsia="仿宋_GB2312"/>
          <w:sz w:val="24"/>
        </w:rPr>
        <w:fldChar w:fldCharType="end"/>
      </w:r>
      <w:r>
        <w:rPr>
          <w:rFonts w:eastAsia="仿宋_GB2312"/>
          <w:sz w:val="24"/>
        </w:rPr>
        <w:fldChar w:fldCharType="end"/>
      </w:r>
    </w:p>
    <w:p>
      <w:pPr>
        <w:pStyle w:val="15"/>
        <w:tabs>
          <w:tab w:val="right" w:leader="dot" w:pos="8296"/>
        </w:tabs>
        <w:spacing w:line="500" w:lineRule="exact"/>
        <w:rPr>
          <w:rFonts w:eastAsia="仿宋_GB2312"/>
          <w:sz w:val="24"/>
        </w:rPr>
      </w:pPr>
      <w:r>
        <w:fldChar w:fldCharType="begin"/>
      </w:r>
      <w:r>
        <w:instrText xml:space="preserve"> HYPERLINK \l "_Toc86679251" </w:instrText>
      </w:r>
      <w:r>
        <w:fldChar w:fldCharType="separate"/>
      </w:r>
      <w:r>
        <w:rPr>
          <w:rStyle w:val="21"/>
          <w:rFonts w:eastAsia="仿宋_GB2312"/>
          <w:sz w:val="24"/>
        </w:rPr>
        <w:t>1.5 基础设施规划</w:t>
      </w:r>
      <w:r>
        <w:rPr>
          <w:rFonts w:eastAsia="仿宋_GB2312"/>
          <w:sz w:val="24"/>
        </w:rPr>
        <w:tab/>
      </w:r>
      <w:r>
        <w:rPr>
          <w:rFonts w:eastAsia="仿宋_GB2312"/>
          <w:sz w:val="24"/>
        </w:rPr>
        <w:fldChar w:fldCharType="begin"/>
      </w:r>
      <w:r>
        <w:rPr>
          <w:rFonts w:eastAsia="仿宋_GB2312"/>
          <w:sz w:val="24"/>
        </w:rPr>
        <w:instrText xml:space="preserve"> PAGEREF _Toc86679251 \h </w:instrText>
      </w:r>
      <w:r>
        <w:rPr>
          <w:rFonts w:eastAsia="仿宋_GB2312"/>
          <w:sz w:val="24"/>
        </w:rPr>
        <w:fldChar w:fldCharType="separate"/>
      </w:r>
      <w:r>
        <w:rPr>
          <w:rFonts w:eastAsia="仿宋_GB2312"/>
          <w:sz w:val="24"/>
        </w:rPr>
        <w:t>3</w:t>
      </w:r>
      <w:r>
        <w:rPr>
          <w:rFonts w:eastAsia="仿宋_GB2312"/>
          <w:sz w:val="24"/>
        </w:rPr>
        <w:fldChar w:fldCharType="end"/>
      </w:r>
      <w:r>
        <w:rPr>
          <w:rFonts w:eastAsia="仿宋_GB2312"/>
          <w:sz w:val="24"/>
        </w:rPr>
        <w:fldChar w:fldCharType="end"/>
      </w:r>
    </w:p>
    <w:p>
      <w:pPr>
        <w:pStyle w:val="14"/>
        <w:rPr>
          <w:rFonts w:asciiTheme="minorHAnsi" w:hAnsiTheme="minorHAnsi" w:eastAsiaTheme="minorEastAsia" w:cstheme="minorBidi"/>
        </w:rPr>
      </w:pPr>
      <w:r>
        <w:fldChar w:fldCharType="begin"/>
      </w:r>
      <w:r>
        <w:instrText xml:space="preserve"> HYPERLINK \l "_Toc86679252" </w:instrText>
      </w:r>
      <w:r>
        <w:fldChar w:fldCharType="separate"/>
      </w:r>
      <w:r>
        <w:rPr>
          <w:rStyle w:val="21"/>
          <w:b/>
          <w:bCs w:val="0"/>
        </w:rPr>
        <w:t>2 规划协调性分析</w:t>
      </w:r>
      <w:r>
        <w:tab/>
      </w:r>
      <w:r>
        <w:fldChar w:fldCharType="begin"/>
      </w:r>
      <w:r>
        <w:instrText xml:space="preserve"> PAGEREF _Toc86679252 \h </w:instrText>
      </w:r>
      <w:r>
        <w:fldChar w:fldCharType="separate"/>
      </w:r>
      <w:r>
        <w:t>5</w:t>
      </w:r>
      <w:r>
        <w:fldChar w:fldCharType="end"/>
      </w:r>
      <w:r>
        <w:fldChar w:fldCharType="end"/>
      </w:r>
    </w:p>
    <w:p>
      <w:pPr>
        <w:pStyle w:val="15"/>
        <w:tabs>
          <w:tab w:val="right" w:leader="dot" w:pos="8296"/>
        </w:tabs>
        <w:spacing w:line="500" w:lineRule="exact"/>
        <w:rPr>
          <w:rFonts w:eastAsia="仿宋_GB2312"/>
          <w:sz w:val="24"/>
        </w:rPr>
      </w:pPr>
      <w:r>
        <w:fldChar w:fldCharType="begin"/>
      </w:r>
      <w:r>
        <w:instrText xml:space="preserve"> HYPERLINK \l "_Toc86679253" </w:instrText>
      </w:r>
      <w:r>
        <w:fldChar w:fldCharType="separate"/>
      </w:r>
      <w:r>
        <w:rPr>
          <w:rStyle w:val="21"/>
          <w:rFonts w:eastAsia="仿宋_GB2312"/>
          <w:sz w:val="24"/>
        </w:rPr>
        <w:t>2.1 与区域发展规划协调性分析</w:t>
      </w:r>
      <w:r>
        <w:rPr>
          <w:rFonts w:eastAsia="仿宋_GB2312"/>
          <w:sz w:val="24"/>
        </w:rPr>
        <w:tab/>
      </w:r>
      <w:r>
        <w:rPr>
          <w:rFonts w:eastAsia="仿宋_GB2312"/>
          <w:sz w:val="24"/>
        </w:rPr>
        <w:fldChar w:fldCharType="begin"/>
      </w:r>
      <w:r>
        <w:rPr>
          <w:rFonts w:eastAsia="仿宋_GB2312"/>
          <w:sz w:val="24"/>
        </w:rPr>
        <w:instrText xml:space="preserve"> PAGEREF _Toc86679253 \h </w:instrText>
      </w:r>
      <w:r>
        <w:rPr>
          <w:rFonts w:eastAsia="仿宋_GB2312"/>
          <w:sz w:val="24"/>
        </w:rPr>
        <w:fldChar w:fldCharType="separate"/>
      </w:r>
      <w:r>
        <w:rPr>
          <w:rFonts w:eastAsia="仿宋_GB2312"/>
          <w:sz w:val="24"/>
        </w:rPr>
        <w:t>5</w:t>
      </w:r>
      <w:r>
        <w:rPr>
          <w:rFonts w:eastAsia="仿宋_GB2312"/>
          <w:sz w:val="24"/>
        </w:rPr>
        <w:fldChar w:fldCharType="end"/>
      </w:r>
      <w:r>
        <w:rPr>
          <w:rFonts w:eastAsia="仿宋_GB2312"/>
          <w:sz w:val="24"/>
        </w:rPr>
        <w:fldChar w:fldCharType="end"/>
      </w:r>
    </w:p>
    <w:p>
      <w:pPr>
        <w:pStyle w:val="15"/>
        <w:tabs>
          <w:tab w:val="right" w:leader="dot" w:pos="8296"/>
        </w:tabs>
        <w:spacing w:line="500" w:lineRule="exact"/>
        <w:rPr>
          <w:rFonts w:eastAsia="仿宋_GB2312"/>
          <w:sz w:val="24"/>
        </w:rPr>
      </w:pPr>
      <w:r>
        <w:fldChar w:fldCharType="begin"/>
      </w:r>
      <w:r>
        <w:instrText xml:space="preserve"> HYPERLINK \l "_Toc86679254" </w:instrText>
      </w:r>
      <w:r>
        <w:fldChar w:fldCharType="separate"/>
      </w:r>
      <w:r>
        <w:rPr>
          <w:rStyle w:val="21"/>
          <w:rFonts w:eastAsia="仿宋_GB2312"/>
          <w:sz w:val="24"/>
        </w:rPr>
        <w:t>2.2 与用地相关规划协调性分析</w:t>
      </w:r>
      <w:r>
        <w:rPr>
          <w:rFonts w:eastAsia="仿宋_GB2312"/>
          <w:sz w:val="24"/>
        </w:rPr>
        <w:tab/>
      </w:r>
      <w:r>
        <w:rPr>
          <w:rFonts w:eastAsia="仿宋_GB2312"/>
          <w:sz w:val="24"/>
        </w:rPr>
        <w:fldChar w:fldCharType="begin"/>
      </w:r>
      <w:r>
        <w:rPr>
          <w:rFonts w:eastAsia="仿宋_GB2312"/>
          <w:sz w:val="24"/>
        </w:rPr>
        <w:instrText xml:space="preserve"> PAGEREF _Toc86679254 \h </w:instrText>
      </w:r>
      <w:r>
        <w:rPr>
          <w:rFonts w:eastAsia="仿宋_GB2312"/>
          <w:sz w:val="24"/>
        </w:rPr>
        <w:fldChar w:fldCharType="separate"/>
      </w:r>
      <w:r>
        <w:rPr>
          <w:rFonts w:eastAsia="仿宋_GB2312"/>
          <w:sz w:val="24"/>
        </w:rPr>
        <w:t>5</w:t>
      </w:r>
      <w:r>
        <w:rPr>
          <w:rFonts w:eastAsia="仿宋_GB2312"/>
          <w:sz w:val="24"/>
        </w:rPr>
        <w:fldChar w:fldCharType="end"/>
      </w:r>
      <w:r>
        <w:rPr>
          <w:rFonts w:eastAsia="仿宋_GB2312"/>
          <w:sz w:val="24"/>
        </w:rPr>
        <w:fldChar w:fldCharType="end"/>
      </w:r>
    </w:p>
    <w:p>
      <w:pPr>
        <w:pStyle w:val="15"/>
        <w:tabs>
          <w:tab w:val="right" w:leader="dot" w:pos="8296"/>
        </w:tabs>
        <w:spacing w:line="500" w:lineRule="exact"/>
        <w:rPr>
          <w:rFonts w:eastAsia="仿宋_GB2312"/>
          <w:sz w:val="24"/>
        </w:rPr>
      </w:pPr>
      <w:r>
        <w:fldChar w:fldCharType="begin"/>
      </w:r>
      <w:r>
        <w:instrText xml:space="preserve"> HYPERLINK \l "_Toc86679255" </w:instrText>
      </w:r>
      <w:r>
        <w:fldChar w:fldCharType="separate"/>
      </w:r>
      <w:r>
        <w:rPr>
          <w:rStyle w:val="21"/>
          <w:rFonts w:eastAsia="仿宋_GB2312"/>
          <w:sz w:val="24"/>
        </w:rPr>
        <w:t>2.3 与产业政策及规划协调性分析</w:t>
      </w:r>
      <w:r>
        <w:rPr>
          <w:rFonts w:eastAsia="仿宋_GB2312"/>
          <w:sz w:val="24"/>
        </w:rPr>
        <w:tab/>
      </w:r>
      <w:r>
        <w:rPr>
          <w:rFonts w:eastAsia="仿宋_GB2312"/>
          <w:sz w:val="24"/>
        </w:rPr>
        <w:fldChar w:fldCharType="begin"/>
      </w:r>
      <w:r>
        <w:rPr>
          <w:rFonts w:eastAsia="仿宋_GB2312"/>
          <w:sz w:val="24"/>
        </w:rPr>
        <w:instrText xml:space="preserve"> PAGEREF _Toc86679255 \h </w:instrText>
      </w:r>
      <w:r>
        <w:rPr>
          <w:rFonts w:eastAsia="仿宋_GB2312"/>
          <w:sz w:val="24"/>
        </w:rPr>
        <w:fldChar w:fldCharType="separate"/>
      </w:r>
      <w:r>
        <w:rPr>
          <w:rFonts w:eastAsia="仿宋_GB2312"/>
          <w:sz w:val="24"/>
        </w:rPr>
        <w:t>5</w:t>
      </w:r>
      <w:r>
        <w:rPr>
          <w:rFonts w:eastAsia="仿宋_GB2312"/>
          <w:sz w:val="24"/>
        </w:rPr>
        <w:fldChar w:fldCharType="end"/>
      </w:r>
      <w:r>
        <w:rPr>
          <w:rFonts w:eastAsia="仿宋_GB2312"/>
          <w:sz w:val="24"/>
        </w:rPr>
        <w:fldChar w:fldCharType="end"/>
      </w:r>
    </w:p>
    <w:p>
      <w:pPr>
        <w:pStyle w:val="15"/>
        <w:tabs>
          <w:tab w:val="right" w:leader="dot" w:pos="8296"/>
        </w:tabs>
        <w:spacing w:line="500" w:lineRule="exact"/>
        <w:rPr>
          <w:rFonts w:eastAsia="仿宋_GB2312"/>
          <w:sz w:val="24"/>
        </w:rPr>
      </w:pPr>
      <w:r>
        <w:fldChar w:fldCharType="begin"/>
      </w:r>
      <w:r>
        <w:instrText xml:space="preserve"> HYPERLINK \l "_Toc86679256" </w:instrText>
      </w:r>
      <w:r>
        <w:fldChar w:fldCharType="separate"/>
      </w:r>
      <w:r>
        <w:rPr>
          <w:rStyle w:val="21"/>
          <w:rFonts w:eastAsia="仿宋_GB2312"/>
          <w:sz w:val="24"/>
        </w:rPr>
        <w:t>2.4 与生态环境保护法规及规划协调性分析</w:t>
      </w:r>
      <w:r>
        <w:rPr>
          <w:rFonts w:eastAsia="仿宋_GB2312"/>
          <w:sz w:val="24"/>
        </w:rPr>
        <w:tab/>
      </w:r>
      <w:r>
        <w:rPr>
          <w:rFonts w:eastAsia="仿宋_GB2312"/>
          <w:sz w:val="24"/>
        </w:rPr>
        <w:fldChar w:fldCharType="begin"/>
      </w:r>
      <w:r>
        <w:rPr>
          <w:rFonts w:eastAsia="仿宋_GB2312"/>
          <w:sz w:val="24"/>
        </w:rPr>
        <w:instrText xml:space="preserve"> PAGEREF _Toc86679256 \h </w:instrText>
      </w:r>
      <w:r>
        <w:rPr>
          <w:rFonts w:eastAsia="仿宋_GB2312"/>
          <w:sz w:val="24"/>
        </w:rPr>
        <w:fldChar w:fldCharType="separate"/>
      </w:r>
      <w:r>
        <w:rPr>
          <w:rFonts w:eastAsia="仿宋_GB2312"/>
          <w:sz w:val="24"/>
        </w:rPr>
        <w:t>6</w:t>
      </w:r>
      <w:r>
        <w:rPr>
          <w:rFonts w:eastAsia="仿宋_GB2312"/>
          <w:sz w:val="24"/>
        </w:rPr>
        <w:fldChar w:fldCharType="end"/>
      </w:r>
      <w:r>
        <w:rPr>
          <w:rFonts w:eastAsia="仿宋_GB2312"/>
          <w:sz w:val="24"/>
        </w:rPr>
        <w:fldChar w:fldCharType="end"/>
      </w:r>
    </w:p>
    <w:p>
      <w:pPr>
        <w:pStyle w:val="14"/>
        <w:rPr>
          <w:rFonts w:asciiTheme="minorHAnsi" w:hAnsiTheme="minorHAnsi" w:eastAsiaTheme="minorEastAsia" w:cstheme="minorBidi"/>
          <w:b/>
          <w:bCs w:val="0"/>
        </w:rPr>
      </w:pPr>
      <w:r>
        <w:fldChar w:fldCharType="begin"/>
      </w:r>
      <w:r>
        <w:instrText xml:space="preserve"> HYPERLINK \l "_Toc86679257" </w:instrText>
      </w:r>
      <w:r>
        <w:fldChar w:fldCharType="separate"/>
      </w:r>
      <w:r>
        <w:rPr>
          <w:rStyle w:val="21"/>
          <w:b/>
          <w:bCs w:val="0"/>
        </w:rPr>
        <w:t>3环境质量现状</w:t>
      </w:r>
      <w:r>
        <w:rPr>
          <w:b/>
          <w:bCs w:val="0"/>
        </w:rPr>
        <w:tab/>
      </w:r>
      <w:r>
        <w:rPr>
          <w:b/>
          <w:bCs w:val="0"/>
        </w:rPr>
        <w:fldChar w:fldCharType="begin"/>
      </w:r>
      <w:r>
        <w:rPr>
          <w:b/>
          <w:bCs w:val="0"/>
        </w:rPr>
        <w:instrText xml:space="preserve"> PAGEREF _Toc86679257 \h </w:instrText>
      </w:r>
      <w:r>
        <w:rPr>
          <w:b/>
          <w:bCs w:val="0"/>
        </w:rPr>
        <w:fldChar w:fldCharType="separate"/>
      </w:r>
      <w:r>
        <w:rPr>
          <w:b/>
          <w:bCs w:val="0"/>
        </w:rPr>
        <w:t>7</w:t>
      </w:r>
      <w:r>
        <w:rPr>
          <w:b/>
          <w:bCs w:val="0"/>
        </w:rPr>
        <w:fldChar w:fldCharType="end"/>
      </w:r>
      <w:r>
        <w:rPr>
          <w:b/>
          <w:bCs w:val="0"/>
        </w:rPr>
        <w:fldChar w:fldCharType="end"/>
      </w:r>
    </w:p>
    <w:p>
      <w:pPr>
        <w:pStyle w:val="14"/>
        <w:rPr>
          <w:rFonts w:asciiTheme="minorHAnsi" w:hAnsiTheme="minorHAnsi" w:eastAsiaTheme="minorEastAsia" w:cstheme="minorBidi"/>
          <w:b/>
          <w:bCs w:val="0"/>
        </w:rPr>
      </w:pPr>
      <w:r>
        <w:fldChar w:fldCharType="begin"/>
      </w:r>
      <w:r>
        <w:instrText xml:space="preserve"> HYPERLINK \l "_Toc86679258" </w:instrText>
      </w:r>
      <w:r>
        <w:fldChar w:fldCharType="separate"/>
      </w:r>
      <w:r>
        <w:rPr>
          <w:rStyle w:val="21"/>
          <w:b/>
          <w:bCs w:val="0"/>
        </w:rPr>
        <w:t>4环境影响预测结论</w:t>
      </w:r>
      <w:r>
        <w:rPr>
          <w:b/>
          <w:bCs w:val="0"/>
        </w:rPr>
        <w:tab/>
      </w:r>
      <w:r>
        <w:rPr>
          <w:b/>
          <w:bCs w:val="0"/>
        </w:rPr>
        <w:fldChar w:fldCharType="begin"/>
      </w:r>
      <w:r>
        <w:rPr>
          <w:b/>
          <w:bCs w:val="0"/>
        </w:rPr>
        <w:instrText xml:space="preserve"> PAGEREF _Toc86679258 \h </w:instrText>
      </w:r>
      <w:r>
        <w:rPr>
          <w:b/>
          <w:bCs w:val="0"/>
        </w:rPr>
        <w:fldChar w:fldCharType="separate"/>
      </w:r>
      <w:r>
        <w:rPr>
          <w:b/>
          <w:bCs w:val="0"/>
        </w:rPr>
        <w:t>8</w:t>
      </w:r>
      <w:r>
        <w:rPr>
          <w:b/>
          <w:bCs w:val="0"/>
        </w:rPr>
        <w:fldChar w:fldCharType="end"/>
      </w:r>
      <w:r>
        <w:rPr>
          <w:b/>
          <w:bCs w:val="0"/>
        </w:rPr>
        <w:fldChar w:fldCharType="end"/>
      </w:r>
    </w:p>
    <w:p>
      <w:pPr>
        <w:pStyle w:val="14"/>
        <w:rPr>
          <w:rFonts w:asciiTheme="minorHAnsi" w:hAnsiTheme="minorHAnsi" w:eastAsiaTheme="minorEastAsia" w:cstheme="minorBidi"/>
          <w:b/>
          <w:bCs w:val="0"/>
        </w:rPr>
      </w:pPr>
      <w:r>
        <w:fldChar w:fldCharType="begin"/>
      </w:r>
      <w:r>
        <w:instrText xml:space="preserve"> HYPERLINK \l "_Toc86679259" </w:instrText>
      </w:r>
      <w:r>
        <w:fldChar w:fldCharType="separate"/>
      </w:r>
      <w:r>
        <w:rPr>
          <w:rStyle w:val="21"/>
          <w:b/>
          <w:bCs w:val="0"/>
        </w:rPr>
        <w:t>5 规划方案综合论证</w:t>
      </w:r>
      <w:r>
        <w:rPr>
          <w:b/>
          <w:bCs w:val="0"/>
        </w:rPr>
        <w:tab/>
      </w:r>
      <w:r>
        <w:rPr>
          <w:b/>
          <w:bCs w:val="0"/>
        </w:rPr>
        <w:fldChar w:fldCharType="begin"/>
      </w:r>
      <w:r>
        <w:rPr>
          <w:b/>
          <w:bCs w:val="0"/>
        </w:rPr>
        <w:instrText xml:space="preserve"> PAGEREF _Toc86679259 \h </w:instrText>
      </w:r>
      <w:r>
        <w:rPr>
          <w:b/>
          <w:bCs w:val="0"/>
        </w:rPr>
        <w:fldChar w:fldCharType="separate"/>
      </w:r>
      <w:r>
        <w:rPr>
          <w:b/>
          <w:bCs w:val="0"/>
        </w:rPr>
        <w:t>10</w:t>
      </w:r>
      <w:r>
        <w:rPr>
          <w:b/>
          <w:bCs w:val="0"/>
        </w:rPr>
        <w:fldChar w:fldCharType="end"/>
      </w:r>
      <w:r>
        <w:rPr>
          <w:b/>
          <w:bCs w:val="0"/>
        </w:rPr>
        <w:fldChar w:fldCharType="end"/>
      </w:r>
    </w:p>
    <w:p>
      <w:pPr>
        <w:pStyle w:val="14"/>
        <w:rPr>
          <w:rFonts w:asciiTheme="minorHAnsi" w:hAnsiTheme="minorHAnsi" w:eastAsiaTheme="minorEastAsia" w:cstheme="minorBidi"/>
          <w:b/>
          <w:bCs w:val="0"/>
        </w:rPr>
      </w:pPr>
      <w:r>
        <w:fldChar w:fldCharType="begin"/>
      </w:r>
      <w:r>
        <w:instrText xml:space="preserve"> HYPERLINK \l "_Toc86679260" </w:instrText>
      </w:r>
      <w:r>
        <w:fldChar w:fldCharType="separate"/>
      </w:r>
      <w:r>
        <w:rPr>
          <w:rStyle w:val="21"/>
          <w:b/>
          <w:bCs w:val="0"/>
        </w:rPr>
        <w:t>6环境影响减缓措施</w:t>
      </w:r>
      <w:r>
        <w:rPr>
          <w:b/>
          <w:bCs w:val="0"/>
        </w:rPr>
        <w:tab/>
      </w:r>
      <w:r>
        <w:rPr>
          <w:b/>
          <w:bCs w:val="0"/>
        </w:rPr>
        <w:fldChar w:fldCharType="begin"/>
      </w:r>
      <w:r>
        <w:rPr>
          <w:b/>
          <w:bCs w:val="0"/>
        </w:rPr>
        <w:instrText xml:space="preserve"> PAGEREF _Toc86679260 \h </w:instrText>
      </w:r>
      <w:r>
        <w:rPr>
          <w:b/>
          <w:bCs w:val="0"/>
        </w:rPr>
        <w:fldChar w:fldCharType="separate"/>
      </w:r>
      <w:r>
        <w:rPr>
          <w:b/>
          <w:bCs w:val="0"/>
        </w:rPr>
        <w:t>11</w:t>
      </w:r>
      <w:r>
        <w:rPr>
          <w:b/>
          <w:bCs w:val="0"/>
        </w:rPr>
        <w:fldChar w:fldCharType="end"/>
      </w:r>
      <w:r>
        <w:rPr>
          <w:b/>
          <w:bCs w:val="0"/>
        </w:rPr>
        <w:fldChar w:fldCharType="end"/>
      </w:r>
    </w:p>
    <w:p>
      <w:pPr>
        <w:pStyle w:val="14"/>
        <w:rPr>
          <w:rFonts w:asciiTheme="minorHAnsi" w:hAnsiTheme="minorHAnsi" w:eastAsiaTheme="minorEastAsia" w:cstheme="minorBidi"/>
          <w:b/>
          <w:bCs w:val="0"/>
        </w:rPr>
      </w:pPr>
      <w:r>
        <w:fldChar w:fldCharType="begin"/>
      </w:r>
      <w:r>
        <w:instrText xml:space="preserve"> HYPERLINK \l "_Toc86679261" </w:instrText>
      </w:r>
      <w:r>
        <w:fldChar w:fldCharType="separate"/>
      </w:r>
      <w:r>
        <w:rPr>
          <w:rStyle w:val="21"/>
          <w:b/>
          <w:bCs w:val="0"/>
        </w:rPr>
        <w:t>7 公众参与方案</w:t>
      </w:r>
      <w:r>
        <w:rPr>
          <w:b/>
          <w:bCs w:val="0"/>
        </w:rPr>
        <w:tab/>
      </w:r>
      <w:r>
        <w:rPr>
          <w:b/>
          <w:bCs w:val="0"/>
        </w:rPr>
        <w:fldChar w:fldCharType="begin"/>
      </w:r>
      <w:r>
        <w:rPr>
          <w:b/>
          <w:bCs w:val="0"/>
        </w:rPr>
        <w:instrText xml:space="preserve"> PAGEREF _Toc86679261 \h </w:instrText>
      </w:r>
      <w:r>
        <w:rPr>
          <w:b/>
          <w:bCs w:val="0"/>
        </w:rPr>
        <w:fldChar w:fldCharType="separate"/>
      </w:r>
      <w:r>
        <w:rPr>
          <w:b/>
          <w:bCs w:val="0"/>
        </w:rPr>
        <w:t>14</w:t>
      </w:r>
      <w:r>
        <w:rPr>
          <w:b/>
          <w:bCs w:val="0"/>
        </w:rPr>
        <w:fldChar w:fldCharType="end"/>
      </w:r>
      <w:r>
        <w:rPr>
          <w:b/>
          <w:bCs w:val="0"/>
        </w:rPr>
        <w:fldChar w:fldCharType="end"/>
      </w:r>
    </w:p>
    <w:p>
      <w:pPr>
        <w:pStyle w:val="14"/>
        <w:rPr>
          <w:rFonts w:asciiTheme="minorHAnsi" w:hAnsiTheme="minorHAnsi" w:eastAsiaTheme="minorEastAsia" w:cstheme="minorBidi"/>
          <w:b/>
          <w:bCs w:val="0"/>
        </w:rPr>
      </w:pPr>
      <w:r>
        <w:fldChar w:fldCharType="begin"/>
      </w:r>
      <w:r>
        <w:instrText xml:space="preserve"> HYPERLINK \l "_Toc86679262" </w:instrText>
      </w:r>
      <w:r>
        <w:fldChar w:fldCharType="separate"/>
      </w:r>
      <w:r>
        <w:rPr>
          <w:rStyle w:val="21"/>
          <w:b/>
          <w:bCs w:val="0"/>
        </w:rPr>
        <w:t>8 环境影响评价总结论</w:t>
      </w:r>
      <w:r>
        <w:rPr>
          <w:b/>
          <w:bCs w:val="0"/>
        </w:rPr>
        <w:tab/>
      </w:r>
      <w:r>
        <w:rPr>
          <w:b/>
          <w:bCs w:val="0"/>
        </w:rPr>
        <w:fldChar w:fldCharType="begin"/>
      </w:r>
      <w:r>
        <w:rPr>
          <w:b/>
          <w:bCs w:val="0"/>
        </w:rPr>
        <w:instrText xml:space="preserve"> PAGEREF _Toc86679262 \h </w:instrText>
      </w:r>
      <w:r>
        <w:rPr>
          <w:b/>
          <w:bCs w:val="0"/>
        </w:rPr>
        <w:fldChar w:fldCharType="separate"/>
      </w:r>
      <w:r>
        <w:rPr>
          <w:b/>
          <w:bCs w:val="0"/>
        </w:rPr>
        <w:t>15</w:t>
      </w:r>
      <w:r>
        <w:rPr>
          <w:b/>
          <w:bCs w:val="0"/>
        </w:rPr>
        <w:fldChar w:fldCharType="end"/>
      </w:r>
      <w:r>
        <w:rPr>
          <w:b/>
          <w:bCs w:val="0"/>
        </w:rPr>
        <w:fldChar w:fldCharType="end"/>
      </w:r>
    </w:p>
    <w:p>
      <w:pPr>
        <w:pStyle w:val="14"/>
        <w:rPr>
          <w:rFonts w:asciiTheme="minorHAnsi" w:hAnsiTheme="minorHAnsi" w:eastAsiaTheme="minorEastAsia" w:cstheme="minorBidi"/>
          <w:b/>
          <w:bCs w:val="0"/>
        </w:rPr>
      </w:pPr>
      <w:r>
        <w:fldChar w:fldCharType="begin"/>
      </w:r>
      <w:r>
        <w:instrText xml:space="preserve"> HYPERLINK \l "_Toc86679263" </w:instrText>
      </w:r>
      <w:r>
        <w:fldChar w:fldCharType="separate"/>
      </w:r>
      <w:r>
        <w:rPr>
          <w:rStyle w:val="21"/>
          <w:b/>
          <w:bCs w:val="0"/>
        </w:rPr>
        <w:t>9 联系方式</w:t>
      </w:r>
      <w:r>
        <w:rPr>
          <w:b/>
          <w:bCs w:val="0"/>
        </w:rPr>
        <w:tab/>
      </w:r>
      <w:r>
        <w:rPr>
          <w:b/>
          <w:bCs w:val="0"/>
        </w:rPr>
        <w:fldChar w:fldCharType="begin"/>
      </w:r>
      <w:r>
        <w:rPr>
          <w:b/>
          <w:bCs w:val="0"/>
        </w:rPr>
        <w:instrText xml:space="preserve"> PAGEREF _Toc86679263 \h </w:instrText>
      </w:r>
      <w:r>
        <w:rPr>
          <w:b/>
          <w:bCs w:val="0"/>
        </w:rPr>
        <w:fldChar w:fldCharType="separate"/>
      </w:r>
      <w:r>
        <w:rPr>
          <w:b/>
          <w:bCs w:val="0"/>
        </w:rPr>
        <w:t>16</w:t>
      </w:r>
      <w:r>
        <w:rPr>
          <w:b/>
          <w:bCs w:val="0"/>
        </w:rPr>
        <w:fldChar w:fldCharType="end"/>
      </w:r>
      <w:r>
        <w:rPr>
          <w:b/>
          <w:bCs w:val="0"/>
        </w:rPr>
        <w:fldChar w:fldCharType="end"/>
      </w:r>
    </w:p>
    <w:p>
      <w:pPr>
        <w:spacing w:line="500" w:lineRule="exact"/>
        <w:rPr>
          <w:rFonts w:eastAsia="仿宋_GB2312"/>
          <w:color w:val="FF0000"/>
          <w:sz w:val="24"/>
        </w:rPr>
      </w:pPr>
      <w:r>
        <w:rPr>
          <w:rFonts w:eastAsia="仿宋_GB2312"/>
          <w:bCs/>
          <w:color w:val="FF0000"/>
          <w:sz w:val="24"/>
        </w:rPr>
        <w:fldChar w:fldCharType="end"/>
      </w:r>
    </w:p>
    <w:p>
      <w:pPr>
        <w:spacing w:line="360" w:lineRule="auto"/>
        <w:ind w:firstLine="640" w:firstLineChars="200"/>
        <w:rPr>
          <w:color w:val="FF0000"/>
          <w:sz w:val="32"/>
          <w:szCs w:val="32"/>
        </w:rPr>
        <w:sectPr>
          <w:footerReference r:id="rId3" w:type="default"/>
          <w:pgSz w:w="11906" w:h="16838"/>
          <w:pgMar w:top="1440" w:right="1800" w:bottom="1440" w:left="1800" w:header="851" w:footer="992" w:gutter="0"/>
          <w:pgNumType w:fmt="upperRoman" w:start="1"/>
          <w:cols w:space="425" w:num="1"/>
          <w:titlePg/>
          <w:docGrid w:type="lines" w:linePitch="312" w:charSpace="0"/>
        </w:sectPr>
      </w:pPr>
    </w:p>
    <w:bookmarkEnd w:id="1"/>
    <w:p>
      <w:pPr>
        <w:pStyle w:val="2"/>
      </w:pPr>
      <w:bookmarkStart w:id="9" w:name="_Toc86679246"/>
      <w:r>
        <w:t>1 任务</w:t>
      </w:r>
      <w:r>
        <w:rPr>
          <w:rFonts w:hint="eastAsia"/>
        </w:rPr>
        <w:t>由来</w:t>
      </w:r>
      <w:r>
        <w:t>及规划</w:t>
      </w:r>
      <w:bookmarkEnd w:id="2"/>
      <w:bookmarkEnd w:id="3"/>
      <w:bookmarkEnd w:id="4"/>
      <w:bookmarkEnd w:id="5"/>
      <w:r>
        <w:t>概述</w:t>
      </w:r>
      <w:bookmarkEnd w:id="9"/>
    </w:p>
    <w:p>
      <w:pPr>
        <w:pStyle w:val="3"/>
      </w:pPr>
      <w:bookmarkStart w:id="10" w:name="_Toc86679247"/>
      <w:r>
        <w:t>1.1 任务</w:t>
      </w:r>
      <w:r>
        <w:rPr>
          <w:rFonts w:hint="eastAsia"/>
        </w:rPr>
        <w:t>由来</w:t>
      </w:r>
      <w:bookmarkEnd w:id="10"/>
    </w:p>
    <w:p>
      <w:pPr>
        <w:tabs>
          <w:tab w:val="left" w:pos="8789"/>
        </w:tabs>
        <w:spacing w:line="500" w:lineRule="exact"/>
        <w:ind w:firstLine="560" w:firstLineChars="200"/>
        <w:rPr>
          <w:rFonts w:hint="eastAsia" w:eastAsia="仿宋_GB2312"/>
          <w:bCs/>
          <w:sz w:val="28"/>
          <w:szCs w:val="28"/>
        </w:rPr>
      </w:pPr>
      <w:bookmarkStart w:id="11" w:name="_Hlk55462185"/>
      <w:bookmarkStart w:id="12" w:name="_Hlk117428708"/>
      <w:bookmarkStart w:id="13" w:name="_Hlk119357029"/>
      <w:bookmarkStart w:id="14" w:name="_Toc86679248"/>
      <w:r>
        <w:rPr>
          <w:rFonts w:hint="eastAsia" w:eastAsia="仿宋_GB2312"/>
          <w:bCs/>
          <w:sz w:val="28"/>
          <w:szCs w:val="28"/>
        </w:rPr>
        <w:t>随着长三角一体化发展上升为国家战略，江苏省加快推动工业转型升级和高质量发展，南通及如东县工业经济持续稳步增长，区域经济活力竞相迸发，政策、资金、市场等各类要素汇聚。丰利镇工业集中区纳入《如东县“三线一单”生态环境分区管控实施方案》中的环境管控单元进行管理，在空间布局约束、污染物排放管控、环境风险防控、资源开发效率等方面对园区提出了更高的管控要求。为全力加快推进丰利镇高质量发展，推动丰利镇工业集中区协调发展，如东县丰利镇人民政府结合镇域规划，立足工业集中区良好基础，组织编制了《南通市如东县丰利镇工业集中区开发建设规划（2023-2035年）》，规划总面积为138.83公顷，包括工业集中区西区（原枫发工业集中区）、工业集中区东区（原丰利镇工业集中区）两个片区。</w:t>
      </w:r>
    </w:p>
    <w:p>
      <w:pPr>
        <w:tabs>
          <w:tab w:val="left" w:pos="8789"/>
        </w:tabs>
        <w:spacing w:line="500" w:lineRule="exact"/>
        <w:ind w:firstLine="560" w:firstLineChars="200"/>
        <w:rPr>
          <w:rFonts w:hint="eastAsia" w:eastAsia="仿宋_GB2312"/>
          <w:bCs/>
          <w:sz w:val="28"/>
          <w:szCs w:val="28"/>
          <w:lang w:eastAsia="zh-CN"/>
        </w:rPr>
      </w:pPr>
      <w:r>
        <w:rPr>
          <w:rFonts w:hint="eastAsia" w:eastAsia="仿宋_GB2312"/>
          <w:bCs/>
          <w:sz w:val="28"/>
          <w:szCs w:val="28"/>
        </w:rPr>
        <w:t>工业集中区西区（原枫发工业集中区）规划面积56.05公顷，位于镇区西侧，四至边界为：南至新建西线，北至五义河，东至</w:t>
      </w:r>
      <w:r>
        <w:rPr>
          <w:rFonts w:hint="eastAsia" w:eastAsia="仿宋_GB2312"/>
          <w:bCs/>
          <w:sz w:val="28"/>
          <w:szCs w:val="28"/>
          <w:lang w:val="en-US" w:eastAsia="zh-CN"/>
        </w:rPr>
        <w:t>家庙桥村31组中心路</w:t>
      </w:r>
      <w:r>
        <w:rPr>
          <w:rFonts w:hint="eastAsia" w:eastAsia="仿宋_GB2312"/>
          <w:bCs/>
          <w:sz w:val="28"/>
          <w:szCs w:val="28"/>
        </w:rPr>
        <w:t>，西至老S225东侧90 m</w:t>
      </w:r>
      <w:r>
        <w:rPr>
          <w:rFonts w:hint="eastAsia" w:eastAsia="仿宋_GB2312"/>
          <w:bCs/>
          <w:sz w:val="28"/>
          <w:szCs w:val="28"/>
          <w:lang w:eastAsia="zh-CN"/>
        </w:rPr>
        <w:t>。</w:t>
      </w:r>
      <w:bookmarkStart w:id="41" w:name="_GoBack"/>
      <w:bookmarkEnd w:id="41"/>
    </w:p>
    <w:p>
      <w:pPr>
        <w:tabs>
          <w:tab w:val="left" w:pos="8789"/>
        </w:tabs>
        <w:spacing w:line="500" w:lineRule="exact"/>
        <w:ind w:firstLine="560" w:firstLineChars="200"/>
        <w:rPr>
          <w:rFonts w:hint="eastAsia" w:eastAsia="仿宋_GB2312"/>
          <w:bCs/>
          <w:sz w:val="28"/>
          <w:szCs w:val="28"/>
        </w:rPr>
      </w:pPr>
      <w:r>
        <w:rPr>
          <w:rFonts w:hint="eastAsia" w:eastAsia="仿宋_GB2312"/>
          <w:bCs/>
          <w:sz w:val="28"/>
          <w:szCs w:val="28"/>
        </w:rPr>
        <w:t>工业集中区东区（原丰利镇工业集中区）规划面积82.78公顷，位于镇区东侧，四至边界为：北至周桥中心河，南至丰东河，东至现状农田，西至新丰路。</w:t>
      </w:r>
    </w:p>
    <w:p>
      <w:pPr>
        <w:tabs>
          <w:tab w:val="left" w:pos="8789"/>
        </w:tabs>
        <w:spacing w:line="500" w:lineRule="exact"/>
        <w:ind w:firstLine="560" w:firstLineChars="200"/>
        <w:rPr>
          <w:rFonts w:hint="eastAsia" w:eastAsia="仿宋_GB2312"/>
          <w:bCs/>
          <w:sz w:val="28"/>
          <w:szCs w:val="28"/>
        </w:rPr>
      </w:pPr>
      <w:r>
        <w:rPr>
          <w:rFonts w:hint="eastAsia" w:eastAsia="仿宋_GB2312"/>
          <w:bCs/>
          <w:sz w:val="28"/>
          <w:szCs w:val="28"/>
        </w:rPr>
        <w:t>丰利镇工业集中区地理位置见图1.1-1。</w:t>
      </w:r>
    </w:p>
    <w:p>
      <w:pPr>
        <w:tabs>
          <w:tab w:val="left" w:pos="8789"/>
        </w:tabs>
        <w:spacing w:line="500" w:lineRule="exact"/>
        <w:ind w:firstLine="560" w:firstLineChars="200"/>
        <w:rPr>
          <w:rFonts w:eastAsia="仿宋_GB2312"/>
          <w:bCs/>
          <w:sz w:val="28"/>
          <w:szCs w:val="28"/>
        </w:rPr>
      </w:pPr>
      <w:r>
        <w:rPr>
          <w:rFonts w:hint="eastAsia" w:eastAsia="仿宋_GB2312"/>
          <w:bCs/>
          <w:sz w:val="28"/>
          <w:szCs w:val="28"/>
        </w:rPr>
        <w:t>根据《中华人民共和国环境影响评价法》、《规划环境影响评价条例》，及南通市生态文明建设领导小组办公室发布的《关于在全市各级工业园区（集中区）实施规划环境影响评价的通知》（生态办发〔2019〕7号），如东县丰利镇人民政府委托南京大学环境规划设计研究院集团股份公司开展该项规划的环境影响评价工作。评价单位在充分收集资料、现场踏勘、环境现状调查、广泛征询意见等工作的基础上，编制完成了《南通市如东县丰利镇工业集中区开发建设规划（2023-2035年）环境影响报告书》。</w:t>
      </w:r>
    </w:p>
    <w:bookmarkEnd w:id="11"/>
    <w:bookmarkEnd w:id="12"/>
    <w:bookmarkEnd w:id="13"/>
    <w:p>
      <w:pPr>
        <w:pStyle w:val="3"/>
      </w:pPr>
      <w:r>
        <w:t>1.2 规划范围和期限</w:t>
      </w:r>
      <w:bookmarkEnd w:id="14"/>
    </w:p>
    <w:p>
      <w:pPr>
        <w:adjustRightInd w:val="0"/>
        <w:snapToGrid w:val="0"/>
        <w:spacing w:line="500" w:lineRule="exact"/>
        <w:ind w:firstLine="562" w:firstLineChars="200"/>
        <w:rPr>
          <w:rFonts w:eastAsia="仿宋_GB2312"/>
          <w:b/>
          <w:sz w:val="28"/>
          <w:szCs w:val="28"/>
        </w:rPr>
      </w:pPr>
      <w:r>
        <w:rPr>
          <w:rFonts w:hint="eastAsia" w:eastAsia="仿宋_GB2312"/>
          <w:b/>
          <w:sz w:val="28"/>
          <w:szCs w:val="28"/>
        </w:rPr>
        <w:t>（1）规划范围</w:t>
      </w:r>
    </w:p>
    <w:p>
      <w:pPr>
        <w:adjustRightInd w:val="0"/>
        <w:snapToGrid w:val="0"/>
        <w:spacing w:line="500" w:lineRule="exact"/>
        <w:ind w:firstLine="560" w:firstLineChars="200"/>
        <w:rPr>
          <w:rFonts w:hint="eastAsia" w:eastAsia="仿宋_GB2312"/>
          <w:bCs/>
          <w:sz w:val="28"/>
          <w:szCs w:val="28"/>
        </w:rPr>
      </w:pPr>
      <w:r>
        <w:rPr>
          <w:rFonts w:hint="eastAsia" w:eastAsia="仿宋_GB2312"/>
          <w:bCs/>
          <w:sz w:val="28"/>
          <w:szCs w:val="28"/>
        </w:rPr>
        <w:t>丰利镇工业集中区规划总面积为138.83公顷，包括工业集中区西区（原枫发工业集中区）、工业集中区东区（原丰利镇工业集中区）两个片区。</w:t>
      </w:r>
    </w:p>
    <w:p>
      <w:pPr>
        <w:adjustRightInd w:val="0"/>
        <w:snapToGrid w:val="0"/>
        <w:spacing w:line="500" w:lineRule="exact"/>
        <w:ind w:firstLine="560" w:firstLineChars="200"/>
        <w:rPr>
          <w:rFonts w:hint="eastAsia" w:eastAsia="仿宋_GB2312"/>
          <w:bCs/>
          <w:sz w:val="28"/>
          <w:szCs w:val="28"/>
        </w:rPr>
      </w:pPr>
      <w:r>
        <w:rPr>
          <w:rFonts w:hint="eastAsia" w:eastAsia="仿宋_GB2312"/>
          <w:bCs/>
          <w:sz w:val="28"/>
          <w:szCs w:val="28"/>
        </w:rPr>
        <w:t>工业集中区西区（原枫发工业集中区）规划面积56.05公顷，位于镇区西侧，四至边界为：南至新建西线，北至五义河，东至</w:t>
      </w:r>
      <w:r>
        <w:rPr>
          <w:rFonts w:hint="eastAsia" w:eastAsia="仿宋_GB2312"/>
          <w:bCs/>
          <w:sz w:val="28"/>
          <w:szCs w:val="28"/>
          <w:lang w:val="en-US" w:eastAsia="zh-CN"/>
        </w:rPr>
        <w:t>家庙桥村31组中心路</w:t>
      </w:r>
      <w:r>
        <w:rPr>
          <w:rFonts w:hint="eastAsia" w:eastAsia="仿宋_GB2312"/>
          <w:bCs/>
          <w:sz w:val="28"/>
          <w:szCs w:val="28"/>
        </w:rPr>
        <w:t>，西至老S225东侧90 m。</w:t>
      </w:r>
    </w:p>
    <w:p>
      <w:pPr>
        <w:adjustRightInd w:val="0"/>
        <w:snapToGrid w:val="0"/>
        <w:spacing w:line="500" w:lineRule="exact"/>
        <w:ind w:firstLine="560" w:firstLineChars="200"/>
        <w:rPr>
          <w:rFonts w:eastAsia="仿宋_GB2312"/>
          <w:bCs/>
          <w:sz w:val="28"/>
          <w:szCs w:val="28"/>
        </w:rPr>
      </w:pPr>
      <w:r>
        <w:rPr>
          <w:rFonts w:hint="eastAsia" w:eastAsia="仿宋_GB2312"/>
          <w:bCs/>
          <w:sz w:val="28"/>
          <w:szCs w:val="28"/>
        </w:rPr>
        <w:t>工业集中区东区（原丰利镇工业集中区）规划面积82.78公顷，位于镇区东侧，四至边界为：北至周桥中心河，南至丰东河，东至现状农田，西至新丰路。</w:t>
      </w:r>
    </w:p>
    <w:p>
      <w:pPr>
        <w:adjustRightInd w:val="0"/>
        <w:snapToGrid w:val="0"/>
        <w:spacing w:line="500" w:lineRule="exact"/>
        <w:ind w:firstLine="562" w:firstLineChars="200"/>
        <w:rPr>
          <w:rFonts w:eastAsia="仿宋_GB2312"/>
          <w:b/>
          <w:sz w:val="28"/>
          <w:szCs w:val="28"/>
        </w:rPr>
      </w:pPr>
      <w:r>
        <w:rPr>
          <w:rFonts w:hint="eastAsia" w:eastAsia="仿宋_GB2312"/>
          <w:b/>
          <w:sz w:val="28"/>
          <w:szCs w:val="28"/>
        </w:rPr>
        <w:t>（2）规划期限</w:t>
      </w:r>
    </w:p>
    <w:p>
      <w:pPr>
        <w:adjustRightInd w:val="0"/>
        <w:snapToGrid w:val="0"/>
        <w:spacing w:line="500" w:lineRule="exact"/>
        <w:ind w:firstLine="560" w:firstLineChars="200"/>
        <w:rPr>
          <w:rFonts w:eastAsia="仿宋_GB2312"/>
          <w:bCs/>
          <w:sz w:val="28"/>
          <w:szCs w:val="28"/>
        </w:rPr>
      </w:pPr>
      <w:r>
        <w:rPr>
          <w:rFonts w:hint="eastAsia" w:eastAsia="仿宋_GB2312"/>
          <w:bCs/>
          <w:sz w:val="28"/>
          <w:szCs w:val="28"/>
        </w:rPr>
        <w:t>本次规划期限为202</w:t>
      </w:r>
      <w:r>
        <w:rPr>
          <w:rFonts w:eastAsia="仿宋_GB2312"/>
          <w:bCs/>
          <w:sz w:val="28"/>
          <w:szCs w:val="28"/>
        </w:rPr>
        <w:t>3</w:t>
      </w:r>
      <w:r>
        <w:rPr>
          <w:rFonts w:hint="eastAsia" w:eastAsia="仿宋_GB2312"/>
          <w:bCs/>
          <w:sz w:val="28"/>
          <w:szCs w:val="28"/>
        </w:rPr>
        <w:t>-2035年，现状基准年为202</w:t>
      </w:r>
      <w:r>
        <w:rPr>
          <w:rFonts w:eastAsia="仿宋_GB2312"/>
          <w:bCs/>
          <w:sz w:val="28"/>
          <w:szCs w:val="28"/>
        </w:rPr>
        <w:t>2</w:t>
      </w:r>
      <w:r>
        <w:rPr>
          <w:rFonts w:hint="eastAsia" w:eastAsia="仿宋_GB2312"/>
          <w:bCs/>
          <w:sz w:val="28"/>
          <w:szCs w:val="28"/>
        </w:rPr>
        <w:t>年。</w:t>
      </w:r>
    </w:p>
    <w:p>
      <w:pPr>
        <w:pStyle w:val="3"/>
      </w:pPr>
      <w:bookmarkStart w:id="15" w:name="_Toc86679249"/>
      <w:r>
        <w:t xml:space="preserve">1.3 </w:t>
      </w:r>
      <w:r>
        <w:rPr>
          <w:rFonts w:hint="eastAsia"/>
        </w:rPr>
        <w:t>规划发展目标</w:t>
      </w:r>
      <w:bookmarkEnd w:id="15"/>
    </w:p>
    <w:p>
      <w:pPr>
        <w:spacing w:line="500" w:lineRule="exact"/>
        <w:ind w:firstLine="560" w:firstLineChars="200"/>
        <w:rPr>
          <w:rFonts w:hint="eastAsia" w:eastAsia="仿宋_GB2312"/>
          <w:sz w:val="28"/>
          <w:szCs w:val="28"/>
          <w:lang w:val="zh-CN" w:eastAsia="zh-CN"/>
        </w:rPr>
      </w:pPr>
      <w:bookmarkStart w:id="16" w:name="_Hlk111732190"/>
      <w:bookmarkStart w:id="17" w:name="_Toc86679250"/>
      <w:r>
        <w:rPr>
          <w:rFonts w:hint="eastAsia" w:eastAsia="仿宋_GB2312"/>
          <w:sz w:val="28"/>
          <w:szCs w:val="28"/>
          <w:lang w:val="zh-CN" w:eastAsia="zh-CN"/>
        </w:rPr>
        <w:t>高标准规划、高水平建设、高效率推进工业集中区建设。</w:t>
      </w:r>
    </w:p>
    <w:p>
      <w:pPr>
        <w:spacing w:line="500" w:lineRule="exact"/>
        <w:ind w:firstLine="560" w:firstLineChars="200"/>
        <w:rPr>
          <w:rFonts w:hint="eastAsia" w:eastAsia="仿宋_GB2312"/>
          <w:sz w:val="28"/>
          <w:szCs w:val="28"/>
          <w:lang w:val="zh-CN" w:eastAsia="zh-CN"/>
        </w:rPr>
      </w:pPr>
      <w:r>
        <w:rPr>
          <w:rFonts w:hint="eastAsia" w:eastAsia="仿宋_GB2312"/>
          <w:sz w:val="28"/>
          <w:szCs w:val="28"/>
          <w:lang w:val="zh-CN" w:eastAsia="zh-CN"/>
        </w:rPr>
        <w:t>到2025年，初步完善工业集中区基础设施建设，提升和做强做大纺织、机械、橡胶和塑料制品产业；通过结构调整、优化，培育高端装备、新材料等新兴主导产业，构建工业集中区新的经济增长点；积极布局电气机械和器材制造、智能通讯及电网装备、电子信息、交通运输设备、金属制品业、非金属矿物制品业、农副食品加工业、新能源等一般产业。</w:t>
      </w:r>
    </w:p>
    <w:p>
      <w:pPr>
        <w:spacing w:line="500" w:lineRule="exact"/>
        <w:ind w:firstLine="560" w:firstLineChars="200"/>
        <w:rPr>
          <w:rFonts w:eastAsia="仿宋_GB2312"/>
          <w:sz w:val="28"/>
          <w:szCs w:val="28"/>
          <w:lang w:val="zh-CN" w:eastAsia="zh-CN"/>
        </w:rPr>
      </w:pPr>
      <w:r>
        <w:rPr>
          <w:rFonts w:hint="eastAsia" w:eastAsia="仿宋_GB2312"/>
          <w:sz w:val="28"/>
          <w:szCs w:val="28"/>
          <w:lang w:val="zh-CN" w:eastAsia="zh-CN"/>
        </w:rPr>
        <w:t>到2035年，将丰利镇工业集中区建设成为“绿色低碳、产业集聚、科技创新”的现代化工业集中区。以创新型特色工业集中区建设为目标，围绕“纺织、机械、橡胶和塑料制品、高端装备、新材料”五大领域，提升集中区创新资源整合能力、自主创新能力，形成一批有具有竞争力的创新企业，将集中区打造成为辐射周边、具有较高影响力的创新型工业集中区。</w:t>
      </w:r>
    </w:p>
    <w:bookmarkEnd w:id="16"/>
    <w:p>
      <w:pPr>
        <w:pStyle w:val="3"/>
      </w:pPr>
      <w:r>
        <w:t>1.4 产业定位</w:t>
      </w:r>
      <w:bookmarkEnd w:id="17"/>
    </w:p>
    <w:p>
      <w:pPr>
        <w:spacing w:line="500" w:lineRule="exact"/>
        <w:ind w:firstLine="560"/>
        <w:rPr>
          <w:rFonts w:eastAsia="仿宋_GB2312"/>
          <w:sz w:val="28"/>
          <w:szCs w:val="28"/>
          <w:lang w:val="zh-CN" w:eastAsia="zh-CN"/>
        </w:rPr>
      </w:pPr>
      <w:bookmarkStart w:id="18" w:name="_Hlk68708253"/>
      <w:r>
        <w:rPr>
          <w:rFonts w:hint="eastAsia" w:eastAsia="仿宋_GB2312"/>
          <w:sz w:val="28"/>
          <w:szCs w:val="28"/>
          <w:lang w:val="zh-CN" w:eastAsia="zh-CN"/>
        </w:rPr>
        <w:t>规划主导产业：工业集中区以纺织、机械、橡胶和塑料制品、高端装备、新材料为五大主导产业</w:t>
      </w:r>
      <w:r>
        <w:rPr>
          <w:rFonts w:hint="eastAsia" w:eastAsia="仿宋_GB2312"/>
          <w:sz w:val="28"/>
          <w:szCs w:val="28"/>
          <w:lang w:val="zh-CN"/>
        </w:rPr>
        <w:t>。</w:t>
      </w:r>
    </w:p>
    <w:bookmarkEnd w:id="18"/>
    <w:p>
      <w:pPr>
        <w:pStyle w:val="3"/>
      </w:pPr>
      <w:bookmarkStart w:id="19" w:name="_Toc86679251"/>
      <w:r>
        <w:t>1.5 基础设施规划</w:t>
      </w:r>
      <w:bookmarkEnd w:id="19"/>
    </w:p>
    <w:p>
      <w:pPr>
        <w:pStyle w:val="5"/>
      </w:pPr>
      <w:r>
        <w:t>1.5.1 给水工程</w:t>
      </w:r>
    </w:p>
    <w:p>
      <w:pPr>
        <w:spacing w:line="500" w:lineRule="exact"/>
        <w:ind w:firstLine="560" w:firstLineChars="200"/>
        <w:rPr>
          <w:rFonts w:hint="eastAsia" w:eastAsia="仿宋_GB2312"/>
          <w:sz w:val="28"/>
        </w:rPr>
      </w:pPr>
      <w:r>
        <w:rPr>
          <w:rFonts w:hint="eastAsia" w:eastAsia="仿宋_GB2312"/>
          <w:sz w:val="28"/>
        </w:rPr>
        <w:t>丰利镇工业集中区内均规划集中供水，供水已纳入区域供水网络中，供水水厂为洪港水厂，规划规模为60万m</w:t>
      </w:r>
      <w:r>
        <w:rPr>
          <w:rFonts w:hint="eastAsia" w:eastAsia="仿宋_GB2312"/>
          <w:sz w:val="28"/>
          <w:vertAlign w:val="superscript"/>
        </w:rPr>
        <w:t>3</w:t>
      </w:r>
      <w:r>
        <w:rPr>
          <w:rFonts w:hint="eastAsia" w:eastAsia="仿宋_GB2312"/>
          <w:sz w:val="28"/>
        </w:rPr>
        <w:t>/d。工业集中区内规划给水管网为环形与枝状结合的形式，给水主干管以环形布置为主，支管形成枝状。</w:t>
      </w:r>
    </w:p>
    <w:p>
      <w:pPr>
        <w:spacing w:line="500" w:lineRule="exact"/>
        <w:ind w:firstLine="560" w:firstLineChars="200"/>
        <w:rPr>
          <w:rFonts w:eastAsia="仿宋_GB2312"/>
          <w:sz w:val="28"/>
        </w:rPr>
      </w:pPr>
      <w:r>
        <w:rPr>
          <w:rFonts w:hint="eastAsia" w:eastAsia="仿宋_GB2312"/>
          <w:sz w:val="28"/>
        </w:rPr>
        <w:t>工业集中区西区规划给水管网主干管沿新建西路敷设，管径为DN400。次干管沿丰家公路敷设；工业集中区东区规划给水管网主干管由苴沿线给水管引入，管径为DN400，次干管沿其他道路敷，管径为DN200。</w:t>
      </w:r>
    </w:p>
    <w:p>
      <w:pPr>
        <w:pStyle w:val="5"/>
      </w:pPr>
      <w:r>
        <w:t>1.5.2 排水工程</w:t>
      </w:r>
    </w:p>
    <w:p>
      <w:pPr>
        <w:spacing w:line="500" w:lineRule="exact"/>
        <w:ind w:firstLine="560" w:firstLineChars="200"/>
        <w:rPr>
          <w:rFonts w:eastAsia="仿宋_GB2312"/>
          <w:sz w:val="28"/>
        </w:rPr>
      </w:pPr>
      <w:r>
        <w:rPr>
          <w:rFonts w:hint="eastAsia" w:eastAsia="仿宋_GB2312"/>
          <w:sz w:val="28"/>
        </w:rPr>
        <w:t>规划区排水体制为雨污分流制，雨水采用分散就近排放的原则，自排为主、抽排为辅。规划雨水管网建设结合道路同步建设。</w:t>
      </w:r>
    </w:p>
    <w:p>
      <w:pPr>
        <w:spacing w:line="500" w:lineRule="exact"/>
        <w:ind w:firstLine="560" w:firstLineChars="200"/>
        <w:rPr>
          <w:rFonts w:eastAsia="仿宋_GB2312"/>
          <w:sz w:val="28"/>
        </w:rPr>
      </w:pPr>
      <w:r>
        <w:rPr>
          <w:rFonts w:hint="eastAsia" w:eastAsia="仿宋_GB2312"/>
          <w:bCs/>
          <w:sz w:val="28"/>
          <w:szCs w:val="32"/>
        </w:rPr>
        <w:t>工业集中区污水管网沿主要道路铺设。污水经收集后，汇入苴沿线和新建西线的DN400~600市政污水管网，排入丰利镇污水处理厂集中处理。</w:t>
      </w:r>
    </w:p>
    <w:p>
      <w:pPr>
        <w:pStyle w:val="5"/>
      </w:pPr>
      <w:r>
        <w:t>1.5.3 供电工程</w:t>
      </w:r>
    </w:p>
    <w:p>
      <w:pPr>
        <w:spacing w:line="500" w:lineRule="exact"/>
        <w:ind w:firstLine="560" w:firstLineChars="200"/>
        <w:rPr>
          <w:rFonts w:eastAsia="仿宋_GB2312"/>
          <w:sz w:val="28"/>
        </w:rPr>
      </w:pPr>
      <w:r>
        <w:rPr>
          <w:rFonts w:hint="eastAsia" w:eastAsia="仿宋_GB2312"/>
          <w:sz w:val="28"/>
        </w:rPr>
        <w:t>丰利镇工业集中区规划供电线路主要为现状110 kV丰利变、如东县供电设施以及拟建220 kV丰利变电站。10 kV配电网采用环式主结线方式，电气上分片开环运行，优先考虑采用电力电缆埋地敷设，电力线路原则上以路东路南为主通道，在道路设计和施工中应考虑在条件允许情况下的地下电力电缆的通道，规划设计要求尽量利用原10 kV线路。</w:t>
      </w:r>
    </w:p>
    <w:p>
      <w:pPr>
        <w:pStyle w:val="5"/>
      </w:pPr>
      <w:r>
        <w:t>1.5.4 燃气工程</w:t>
      </w:r>
    </w:p>
    <w:p>
      <w:pPr>
        <w:spacing w:line="500" w:lineRule="exact"/>
        <w:ind w:firstLine="560" w:firstLineChars="200"/>
        <w:rPr>
          <w:rFonts w:eastAsia="仿宋_GB2312"/>
          <w:sz w:val="28"/>
        </w:rPr>
      </w:pPr>
      <w:bookmarkStart w:id="20" w:name="_Hlk111732344"/>
      <w:bookmarkStart w:id="21" w:name="_Hlk111728053"/>
      <w:r>
        <w:rPr>
          <w:rFonts w:hint="eastAsia" w:eastAsia="仿宋_GB2312"/>
          <w:sz w:val="28"/>
        </w:rPr>
        <w:t>丰利镇工业集中区规划范围内规划期末采用天然气。工业集中区燃气气源为洋口镇LNG气化站，由苴沿线和新建西线燃气管接入。</w:t>
      </w:r>
    </w:p>
    <w:bookmarkEnd w:id="20"/>
    <w:bookmarkEnd w:id="21"/>
    <w:p>
      <w:pPr>
        <w:pStyle w:val="5"/>
      </w:pPr>
      <w:r>
        <w:t>1.5.5 供热工程</w:t>
      </w:r>
    </w:p>
    <w:p>
      <w:pPr>
        <w:spacing w:line="500" w:lineRule="exact"/>
        <w:ind w:firstLine="560" w:firstLineChars="200"/>
        <w:rPr>
          <w:rFonts w:eastAsia="仿宋_GB2312"/>
          <w:sz w:val="28"/>
        </w:rPr>
      </w:pPr>
      <w:bookmarkStart w:id="22" w:name="_Hlk69372245"/>
      <w:r>
        <w:rPr>
          <w:rFonts w:hint="eastAsia" w:eastAsia="仿宋_GB2312"/>
          <w:sz w:val="28"/>
        </w:rPr>
        <w:t>根据《如东县热电联产规划（2022-2025）》，丰利镇属于沿海经济开发区供热片区，由“如东洋口环保热电有限公司”进行集中供热。规划期，集中供热管网覆盖后，集中供热无法满足企业工艺需要且企业需要用热的，自建锅炉需采用清洁能源</w:t>
      </w:r>
      <w:r>
        <w:rPr>
          <w:rFonts w:hint="eastAsia" w:eastAsia="仿宋_GB2312"/>
          <w:sz w:val="28"/>
          <w:szCs w:val="28"/>
        </w:rPr>
        <w:t>。</w:t>
      </w:r>
    </w:p>
    <w:bookmarkEnd w:id="22"/>
    <w:p>
      <w:pPr>
        <w:rPr>
          <w:color w:val="FF0000"/>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pPr>
      <w:bookmarkStart w:id="23" w:name="_Toc86679252"/>
      <w:r>
        <w:t>2 规划协调性分析</w:t>
      </w:r>
      <w:bookmarkEnd w:id="23"/>
    </w:p>
    <w:p>
      <w:pPr>
        <w:pStyle w:val="3"/>
      </w:pPr>
      <w:bookmarkStart w:id="24" w:name="_Toc86679253"/>
      <w:r>
        <w:t>2.1 与区域发展规划</w:t>
      </w:r>
      <w:r>
        <w:rPr>
          <w:rFonts w:hint="eastAsia"/>
        </w:rPr>
        <w:t>协调</w:t>
      </w:r>
      <w:r>
        <w:t>性分析</w:t>
      </w:r>
      <w:bookmarkEnd w:id="24"/>
    </w:p>
    <w:p>
      <w:pPr>
        <w:pStyle w:val="8"/>
        <w:overflowPunct w:val="0"/>
        <w:topLinePunct/>
        <w:snapToGrid w:val="0"/>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bCs/>
          <w:sz w:val="28"/>
          <w:szCs w:val="28"/>
        </w:rPr>
        <w:t>如东县丰利镇工业集中区</w:t>
      </w:r>
      <w:r>
        <w:rPr>
          <w:rFonts w:hint="eastAsia" w:eastAsia="仿宋_GB2312"/>
          <w:sz w:val="28"/>
          <w:szCs w:val="28"/>
        </w:rPr>
        <w:t>的</w:t>
      </w:r>
      <w:r>
        <w:rPr>
          <w:rFonts w:ascii="Times New Roman" w:hAnsi="Times New Roman" w:eastAsia="仿宋_GB2312"/>
          <w:sz w:val="28"/>
          <w:szCs w:val="28"/>
        </w:rPr>
        <w:t>产业</w:t>
      </w:r>
      <w:r>
        <w:rPr>
          <w:rFonts w:hint="eastAsia" w:ascii="Times New Roman" w:hAnsi="Times New Roman" w:eastAsia="仿宋_GB2312"/>
          <w:sz w:val="28"/>
          <w:szCs w:val="28"/>
        </w:rPr>
        <w:t>定位和</w:t>
      </w:r>
      <w:r>
        <w:rPr>
          <w:rFonts w:ascii="Times New Roman" w:hAnsi="Times New Roman" w:eastAsia="仿宋_GB2312"/>
          <w:sz w:val="28"/>
          <w:szCs w:val="28"/>
        </w:rPr>
        <w:t>发展方向与</w:t>
      </w:r>
      <w:r>
        <w:rPr>
          <w:rFonts w:ascii="Times New Roman" w:hAnsi="Times New Roman" w:eastAsia="仿宋_GB2312"/>
          <w:bCs/>
          <w:sz w:val="28"/>
          <w:szCs w:val="28"/>
        </w:rPr>
        <w:t>《长江三角洲区域一体化发展规划纲要》</w:t>
      </w:r>
      <w:r>
        <w:rPr>
          <w:rFonts w:hint="eastAsia" w:ascii="Times New Roman" w:hAnsi="Times New Roman" w:eastAsia="仿宋_GB2312"/>
          <w:bCs/>
          <w:sz w:val="28"/>
          <w:szCs w:val="28"/>
        </w:rPr>
        <w:t>、《长江经济带发展规划纲要》、</w:t>
      </w:r>
      <w:r>
        <w:rPr>
          <w:rFonts w:ascii="Times New Roman" w:hAnsi="Times New Roman" w:eastAsia="仿宋_GB2312"/>
          <w:bCs/>
          <w:sz w:val="28"/>
          <w:szCs w:val="28"/>
        </w:rPr>
        <w:t>《江苏省国民经济和社会发展第十四个五年规划和二</w:t>
      </w:r>
      <w:r>
        <w:rPr>
          <w:rFonts w:hint="eastAsia" w:ascii="Times New Roman" w:hAnsi="Times New Roman" w:eastAsia="仿宋_GB2312"/>
          <w:bCs/>
          <w:sz w:val="28"/>
          <w:szCs w:val="28"/>
        </w:rPr>
        <w:t>〇</w:t>
      </w:r>
      <w:r>
        <w:rPr>
          <w:rFonts w:ascii="Times New Roman" w:hAnsi="Times New Roman" w:eastAsia="仿宋_GB2312"/>
          <w:bCs/>
          <w:sz w:val="28"/>
          <w:szCs w:val="28"/>
        </w:rPr>
        <w:t>三五年远景目标纲要》</w:t>
      </w:r>
      <w:r>
        <w:rPr>
          <w:rFonts w:hint="eastAsia" w:ascii="Times New Roman" w:hAnsi="Times New Roman" w:eastAsia="仿宋_GB2312"/>
          <w:bCs/>
          <w:sz w:val="28"/>
          <w:szCs w:val="28"/>
        </w:rPr>
        <w:t>、《江苏省“十四五”制造业高质量发展规划》、《江苏省“十四五”工业绿色发展规划》、《如东县国民经济和社会发展第十四个五年规划和二〇三五年远景目标纲要》</w:t>
      </w:r>
      <w:r>
        <w:rPr>
          <w:rFonts w:hint="eastAsia" w:ascii="Times New Roman" w:hAnsi="Times New Roman" w:eastAsia="仿宋_GB2312"/>
          <w:sz w:val="28"/>
          <w:szCs w:val="28"/>
        </w:rPr>
        <w:t>等规划要求</w:t>
      </w:r>
      <w:r>
        <w:rPr>
          <w:rFonts w:ascii="Times New Roman" w:hAnsi="Times New Roman" w:eastAsia="仿宋_GB2312"/>
          <w:sz w:val="28"/>
          <w:szCs w:val="28"/>
        </w:rPr>
        <w:t>相</w:t>
      </w:r>
      <w:r>
        <w:rPr>
          <w:rFonts w:hint="eastAsia" w:ascii="Times New Roman" w:hAnsi="Times New Roman" w:eastAsia="仿宋_GB2312"/>
          <w:sz w:val="28"/>
          <w:szCs w:val="28"/>
        </w:rPr>
        <w:t>协调</w:t>
      </w:r>
      <w:r>
        <w:rPr>
          <w:rFonts w:ascii="Times New Roman" w:hAnsi="Times New Roman" w:eastAsia="仿宋_GB2312"/>
          <w:sz w:val="28"/>
          <w:szCs w:val="28"/>
        </w:rPr>
        <w:t>。</w:t>
      </w:r>
    </w:p>
    <w:p>
      <w:pPr>
        <w:pStyle w:val="3"/>
      </w:pPr>
      <w:bookmarkStart w:id="25" w:name="_Toc86679254"/>
      <w:r>
        <w:t>2.2 与用地相关规划</w:t>
      </w:r>
      <w:r>
        <w:rPr>
          <w:rFonts w:hint="eastAsia"/>
        </w:rPr>
        <w:t>协调</w:t>
      </w:r>
      <w:r>
        <w:t>性分析</w:t>
      </w:r>
      <w:bookmarkEnd w:id="25"/>
    </w:p>
    <w:p>
      <w:pPr>
        <w:spacing w:line="500" w:lineRule="exact"/>
        <w:ind w:firstLine="560" w:firstLineChars="200"/>
        <w:rPr>
          <w:rFonts w:eastAsia="仿宋_GB2312"/>
          <w:bCs/>
          <w:sz w:val="28"/>
          <w:szCs w:val="28"/>
        </w:rPr>
      </w:pPr>
      <w:r>
        <w:rPr>
          <w:rFonts w:hint="eastAsia" w:eastAsia="仿宋_GB2312"/>
          <w:bCs/>
          <w:sz w:val="28"/>
          <w:szCs w:val="28"/>
        </w:rPr>
        <w:t>工业集中区西区全部位于城镇开发边界内，工业集中区东区部分区域位于划定的城镇开发边界外，本次规划范围不占用生态保护红线。</w:t>
      </w:r>
    </w:p>
    <w:p>
      <w:pPr>
        <w:spacing w:line="500" w:lineRule="exact"/>
        <w:ind w:firstLine="560" w:firstLineChars="200"/>
        <w:rPr>
          <w:rFonts w:eastAsia="仿宋_GB2312"/>
          <w:bCs/>
          <w:sz w:val="28"/>
          <w:szCs w:val="28"/>
        </w:rPr>
      </w:pPr>
      <w:r>
        <w:rPr>
          <w:rFonts w:hint="eastAsia" w:eastAsia="仿宋_GB2312"/>
          <w:bCs/>
          <w:sz w:val="28"/>
          <w:szCs w:val="28"/>
        </w:rPr>
        <w:t>工业集中区在实施过程中将严格按照“三区三线”的成果进行开发建设。对于位于城镇开发边界外的用地考虑实际开发现状，规划作为远景设想，在后续开发中，工业集中区应确保用地开发与丰利镇国土空间总体规划一致。一般农用地严格履行农用地转用审批手续，引进的项目确需占用耕地的，按照“占一补一”的原则及国家和地方的相关规定，通过土地复垦等措施，严格落实土地占补平衡政策，并依法办理相关手续后可将耕地转为建设用地进行开发利用。</w:t>
      </w:r>
    </w:p>
    <w:p>
      <w:pPr>
        <w:pStyle w:val="3"/>
      </w:pPr>
      <w:bookmarkStart w:id="26" w:name="_Toc86679255"/>
      <w:r>
        <w:t>2.3 与产业政策及规划</w:t>
      </w:r>
      <w:r>
        <w:rPr>
          <w:rFonts w:hint="eastAsia"/>
        </w:rPr>
        <w:t>协调</w:t>
      </w:r>
      <w:r>
        <w:t>性分析</w:t>
      </w:r>
      <w:bookmarkEnd w:id="26"/>
    </w:p>
    <w:p>
      <w:pPr>
        <w:pStyle w:val="8"/>
        <w:overflowPunct w:val="0"/>
        <w:topLinePunct/>
        <w:snapToGrid w:val="0"/>
        <w:spacing w:after="0" w:line="500" w:lineRule="exact"/>
        <w:ind w:firstLine="560" w:firstLineChars="200"/>
        <w:rPr>
          <w:rFonts w:ascii="Times New Roman" w:hAnsi="Times New Roman" w:eastAsia="仿宋_GB2312"/>
          <w:sz w:val="28"/>
          <w:szCs w:val="28"/>
        </w:rPr>
      </w:pPr>
      <w:bookmarkStart w:id="27" w:name="_Hlk55464437"/>
      <w:r>
        <w:rPr>
          <w:rFonts w:ascii="Times New Roman" w:hAnsi="Times New Roman" w:eastAsia="仿宋_GB2312"/>
          <w:sz w:val="28"/>
          <w:szCs w:val="28"/>
        </w:rPr>
        <w:t>对照国家</w:t>
      </w:r>
      <w:r>
        <w:rPr>
          <w:rFonts w:hint="eastAsia" w:ascii="Times New Roman" w:hAnsi="Times New Roman" w:eastAsia="仿宋_GB2312"/>
          <w:sz w:val="28"/>
          <w:szCs w:val="28"/>
        </w:rPr>
        <w:t>《产业结构调整指导目录（2019年本，2021年修订）》、《外商投资准入特别管理措施（负面清单）（2022年版）》、《鼓励外商投资产业目录》（2022年版）、《产业转移指导目录（2018年本）》、《长江经济带发展负面清单指南（试行，2022年版）》、《&lt;长江经济带发展负面清单指南（试行，2022年版）&gt;江苏省实施细则》</w:t>
      </w:r>
      <w:r>
        <w:rPr>
          <w:rFonts w:ascii="Times New Roman" w:hAnsi="Times New Roman" w:eastAsia="仿宋_GB2312"/>
          <w:sz w:val="28"/>
          <w:szCs w:val="28"/>
        </w:rPr>
        <w:t>，</w:t>
      </w:r>
      <w:r>
        <w:rPr>
          <w:rFonts w:hint="eastAsia" w:ascii="Times New Roman" w:hAnsi="Times New Roman" w:eastAsia="仿宋_GB2312"/>
          <w:sz w:val="28"/>
          <w:szCs w:val="28"/>
        </w:rPr>
        <w:t>集中区的</w:t>
      </w:r>
      <w:r>
        <w:rPr>
          <w:rFonts w:ascii="Times New Roman" w:hAnsi="Times New Roman" w:eastAsia="仿宋_GB2312"/>
          <w:sz w:val="28"/>
          <w:szCs w:val="28"/>
        </w:rPr>
        <w:t>规划产业中重点发展的项目不含以上文件中的禁止、淘汰和限制类项目。</w:t>
      </w:r>
    </w:p>
    <w:bookmarkEnd w:id="27"/>
    <w:p>
      <w:pPr>
        <w:adjustRightInd w:val="0"/>
        <w:spacing w:line="500" w:lineRule="exact"/>
        <w:ind w:firstLine="560" w:firstLineChars="200"/>
        <w:rPr>
          <w:rFonts w:eastAsia="仿宋_GB2312"/>
          <w:sz w:val="28"/>
          <w:szCs w:val="28"/>
        </w:rPr>
      </w:pPr>
      <w:r>
        <w:rPr>
          <w:rFonts w:hint="eastAsia" w:eastAsia="仿宋_GB2312"/>
          <w:sz w:val="28"/>
          <w:szCs w:val="28"/>
        </w:rPr>
        <w:t>同时，如东县丰利镇工业集中区本轮规划的产业方向与《国务院关于加快建立健全绿色低碳循环发展经济体系的指导意见》（国发〔2021〕4号）、《南通市关于加大污染减排力度推进重点行业绿色发展的指导意见》（通办〔2021〕59号）、《如东县关于推进重点行业绿色发展的实施方案》等产业相关政策及规划相符合，集中区将积极推行高效能、低能耗、可循环、少排放的绿色生产模式。</w:t>
      </w:r>
    </w:p>
    <w:p>
      <w:pPr>
        <w:pStyle w:val="3"/>
      </w:pPr>
      <w:bookmarkStart w:id="28" w:name="_Toc86679256"/>
      <w:r>
        <w:t>2.4 与生态环境保护法规及规划</w:t>
      </w:r>
      <w:r>
        <w:rPr>
          <w:rFonts w:hint="eastAsia"/>
        </w:rPr>
        <w:t>协调</w:t>
      </w:r>
      <w:r>
        <w:t>性分析</w:t>
      </w:r>
      <w:bookmarkEnd w:id="28"/>
    </w:p>
    <w:p>
      <w:pPr>
        <w:spacing w:line="500" w:lineRule="exact"/>
        <w:ind w:firstLine="560" w:firstLineChars="200"/>
        <w:rPr>
          <w:rFonts w:eastAsia="仿宋_GB2312"/>
          <w:sz w:val="28"/>
          <w:szCs w:val="28"/>
        </w:rPr>
      </w:pPr>
      <w:r>
        <w:rPr>
          <w:rFonts w:hint="eastAsia" w:eastAsia="仿宋_GB2312"/>
          <w:sz w:val="28"/>
          <w:szCs w:val="28"/>
        </w:rPr>
        <w:t>如东县丰利镇工业集中区本轮规划范围不占用国家级生态红线，不涉及江苏省生态空间管控区域。</w:t>
      </w:r>
    </w:p>
    <w:p>
      <w:pPr>
        <w:spacing w:line="500" w:lineRule="exact"/>
        <w:ind w:firstLine="560" w:firstLineChars="200"/>
        <w:rPr>
          <w:rFonts w:eastAsia="仿宋_GB2312"/>
          <w:sz w:val="28"/>
          <w:szCs w:val="28"/>
        </w:rPr>
      </w:pPr>
      <w:r>
        <w:rPr>
          <w:rFonts w:hint="eastAsia" w:eastAsia="仿宋_GB2312"/>
          <w:sz w:val="28"/>
          <w:szCs w:val="28"/>
        </w:rPr>
        <w:t>园区本轮规划与《中共中央国务院关于全面加强生态环境保护坚决打好污染防治攻坚战的意见》、《国务院关于印发水污染防治行动计划的通知》（国发〔201</w:t>
      </w:r>
      <w:r>
        <w:rPr>
          <w:rFonts w:eastAsia="仿宋_GB2312"/>
          <w:sz w:val="28"/>
          <w:szCs w:val="28"/>
        </w:rPr>
        <w:t>5</w:t>
      </w:r>
      <w:r>
        <w:rPr>
          <w:rFonts w:hint="eastAsia" w:eastAsia="仿宋_GB2312"/>
          <w:sz w:val="28"/>
          <w:szCs w:val="28"/>
        </w:rPr>
        <w:t>〕17号）、《关于印发&lt;重点行业挥发性有机物综合治理方案&gt;的通知》（环大气〔201</w:t>
      </w:r>
      <w:r>
        <w:rPr>
          <w:rFonts w:eastAsia="仿宋_GB2312"/>
          <w:sz w:val="28"/>
          <w:szCs w:val="28"/>
        </w:rPr>
        <w:t>9</w:t>
      </w:r>
      <w:r>
        <w:rPr>
          <w:rFonts w:hint="eastAsia" w:eastAsia="仿宋_GB2312"/>
          <w:sz w:val="28"/>
          <w:szCs w:val="28"/>
        </w:rPr>
        <w:t>〕53号）、《土壤污染防治行动计划》（国发〔201</w:t>
      </w:r>
      <w:r>
        <w:rPr>
          <w:rFonts w:eastAsia="仿宋_GB2312"/>
          <w:sz w:val="28"/>
          <w:szCs w:val="28"/>
        </w:rPr>
        <w:t>6</w:t>
      </w:r>
      <w:r>
        <w:rPr>
          <w:rFonts w:hint="eastAsia" w:eastAsia="仿宋_GB2312"/>
          <w:sz w:val="28"/>
          <w:szCs w:val="28"/>
        </w:rPr>
        <w:t>〕31号）、《江苏省大气污染防治条例》（2018年11月23日修订）、《江苏省水污染防治工作方案》（苏政发〔2015〕175号）、《江苏省长江水污染防治条例》（2018年3月28日）、《江苏省挥发性有机物清洁原料替代工作方案》（苏大气办〔2021〕2号）、《南通市“十四五”生态环境保护规划》（通政办发〔2021〕57号）、《南通市关于加大污染减排力度推进重点行业绿色发展的指导意见》（通办〔2021〕59号）、《南通市2021年深入打好污染防治攻坚战工作计划》（通政办发〔2021〕16号）等相协调。</w:t>
      </w:r>
    </w:p>
    <w:p>
      <w:pPr>
        <w:pStyle w:val="2"/>
        <w:sectPr>
          <w:pgSz w:w="11906" w:h="16838"/>
          <w:pgMar w:top="1440" w:right="1800" w:bottom="1440" w:left="1800" w:header="851" w:footer="992" w:gutter="0"/>
          <w:cols w:space="425" w:num="1"/>
          <w:docGrid w:type="lines" w:linePitch="312" w:charSpace="0"/>
        </w:sectPr>
      </w:pPr>
    </w:p>
    <w:p>
      <w:pPr>
        <w:pStyle w:val="2"/>
      </w:pPr>
      <w:bookmarkStart w:id="29" w:name="_Toc86679257"/>
      <w:r>
        <w:t>3 环境质量现状</w:t>
      </w:r>
      <w:bookmarkEnd w:id="29"/>
    </w:p>
    <w:p>
      <w:pPr>
        <w:spacing w:line="500" w:lineRule="exact"/>
        <w:ind w:firstLine="562" w:firstLineChars="200"/>
        <w:rPr>
          <w:rFonts w:eastAsia="仿宋_GB2312"/>
          <w:b/>
          <w:bCs/>
          <w:sz w:val="28"/>
          <w:szCs w:val="28"/>
        </w:rPr>
      </w:pPr>
      <w:bookmarkStart w:id="30" w:name="_Hlk67211259"/>
      <w:r>
        <w:rPr>
          <w:rFonts w:hint="eastAsia" w:eastAsia="仿宋_GB2312"/>
          <w:b/>
          <w:bCs/>
          <w:sz w:val="28"/>
          <w:szCs w:val="28"/>
        </w:rPr>
        <w:t>（1）环境空气</w:t>
      </w:r>
    </w:p>
    <w:p>
      <w:pPr>
        <w:spacing w:line="500" w:lineRule="exact"/>
        <w:ind w:firstLine="560" w:firstLineChars="200"/>
        <w:rPr>
          <w:rFonts w:eastAsia="仿宋_GB2312"/>
          <w:sz w:val="28"/>
          <w:szCs w:val="28"/>
        </w:rPr>
      </w:pPr>
      <w:r>
        <w:rPr>
          <w:rFonts w:hint="eastAsia" w:eastAsia="仿宋_GB2312"/>
          <w:sz w:val="28"/>
          <w:szCs w:val="28"/>
        </w:rPr>
        <w:t>根据本次环境质量现状监测结果，监测期间NH</w:t>
      </w:r>
      <w:r>
        <w:rPr>
          <w:rFonts w:hint="eastAsia" w:eastAsia="仿宋_GB2312"/>
          <w:sz w:val="28"/>
          <w:szCs w:val="28"/>
          <w:vertAlign w:val="subscript"/>
        </w:rPr>
        <w:t>3</w:t>
      </w:r>
      <w:r>
        <w:rPr>
          <w:rFonts w:hint="eastAsia" w:eastAsia="仿宋_GB2312"/>
          <w:sz w:val="28"/>
          <w:szCs w:val="28"/>
        </w:rPr>
        <w:t>、H</w:t>
      </w:r>
      <w:r>
        <w:rPr>
          <w:rFonts w:hint="eastAsia" w:eastAsia="仿宋_GB2312"/>
          <w:sz w:val="28"/>
          <w:szCs w:val="28"/>
          <w:vertAlign w:val="subscript"/>
        </w:rPr>
        <w:t>2</w:t>
      </w:r>
      <w:r>
        <w:rPr>
          <w:rFonts w:hint="eastAsia" w:eastAsia="仿宋_GB2312"/>
          <w:sz w:val="28"/>
          <w:szCs w:val="28"/>
        </w:rPr>
        <w:t>S、甲苯、二甲苯、硫酸雾、氯化氢、甲醇、苯乙烯均能满足《环境影响评价技术导则 大气环境》（HJ 2.2-2018）附录D其他污染物空气质量浓度参考限值要求，非甲烷总烃监测值符合《大气污染物综合排放标准详解》中浓度限值标准要求，臭气浓度监测值符合《恶臭污染物排放标准》（GB 14554-93）表1新扩改建项目厂界二级标准值。</w:t>
      </w:r>
    </w:p>
    <w:p>
      <w:pPr>
        <w:spacing w:line="500" w:lineRule="exact"/>
        <w:ind w:firstLine="562" w:firstLineChars="200"/>
        <w:rPr>
          <w:rFonts w:eastAsia="仿宋_GB2312"/>
          <w:b/>
          <w:bCs/>
          <w:sz w:val="28"/>
          <w:szCs w:val="28"/>
        </w:rPr>
      </w:pPr>
      <w:r>
        <w:rPr>
          <w:rFonts w:hint="eastAsia" w:eastAsia="仿宋_GB2312"/>
          <w:b/>
          <w:bCs/>
          <w:sz w:val="28"/>
          <w:szCs w:val="28"/>
        </w:rPr>
        <w:t>（2）地表水环境</w:t>
      </w:r>
    </w:p>
    <w:p>
      <w:pPr>
        <w:spacing w:line="500" w:lineRule="exact"/>
        <w:ind w:firstLine="560" w:firstLineChars="200"/>
        <w:rPr>
          <w:rFonts w:eastAsia="仿宋_GB2312"/>
          <w:sz w:val="28"/>
          <w:szCs w:val="28"/>
        </w:rPr>
      </w:pPr>
      <w:r>
        <w:rPr>
          <w:rFonts w:hint="eastAsia" w:eastAsia="仿宋_GB2312"/>
          <w:sz w:val="28"/>
          <w:szCs w:val="28"/>
        </w:rPr>
        <w:t>根据地表水环境质量现状监测结果，各监测点位所测各项指标监测值均可达到</w:t>
      </w:r>
      <w:r>
        <w:rPr>
          <w:rFonts w:eastAsia="仿宋_GB2312"/>
          <w:sz w:val="28"/>
          <w:szCs w:val="28"/>
        </w:rPr>
        <w:t>III</w:t>
      </w:r>
      <w:r>
        <w:rPr>
          <w:rFonts w:hint="eastAsia" w:eastAsia="仿宋_GB2312"/>
          <w:sz w:val="28"/>
          <w:szCs w:val="28"/>
        </w:rPr>
        <w:t>类标准要求。</w:t>
      </w:r>
    </w:p>
    <w:p>
      <w:pPr>
        <w:spacing w:line="500" w:lineRule="exact"/>
        <w:ind w:firstLine="562" w:firstLineChars="200"/>
        <w:rPr>
          <w:rFonts w:eastAsia="仿宋_GB2312"/>
          <w:b/>
          <w:bCs/>
          <w:sz w:val="28"/>
          <w:szCs w:val="28"/>
        </w:rPr>
      </w:pPr>
      <w:r>
        <w:rPr>
          <w:rFonts w:hint="eastAsia" w:eastAsia="仿宋_GB2312"/>
          <w:b/>
          <w:bCs/>
          <w:sz w:val="28"/>
          <w:szCs w:val="28"/>
        </w:rPr>
        <w:t>（3）地下水环境</w:t>
      </w:r>
    </w:p>
    <w:p>
      <w:pPr>
        <w:spacing w:line="500" w:lineRule="exact"/>
        <w:ind w:firstLine="560" w:firstLineChars="200"/>
        <w:rPr>
          <w:rFonts w:eastAsia="仿宋_GB2312"/>
          <w:sz w:val="28"/>
          <w:szCs w:val="28"/>
        </w:rPr>
      </w:pPr>
      <w:r>
        <w:rPr>
          <w:rFonts w:hint="eastAsia" w:eastAsia="仿宋_GB2312"/>
          <w:sz w:val="28"/>
          <w:szCs w:val="28"/>
        </w:rPr>
        <w:t>根据地下水环境质量现状监测结果，监测期间，各监测点位所测各项指标监测值均可达到《地下水质量标准》（GB/T14848-2017）III类及以上标准要求。</w:t>
      </w:r>
    </w:p>
    <w:p>
      <w:pPr>
        <w:spacing w:line="500" w:lineRule="exact"/>
        <w:ind w:firstLine="562" w:firstLineChars="200"/>
        <w:rPr>
          <w:rFonts w:eastAsia="仿宋_GB2312"/>
          <w:b/>
          <w:bCs/>
          <w:sz w:val="28"/>
          <w:szCs w:val="28"/>
        </w:rPr>
      </w:pPr>
      <w:r>
        <w:rPr>
          <w:rFonts w:hint="eastAsia" w:eastAsia="仿宋_GB2312"/>
          <w:b/>
          <w:bCs/>
          <w:sz w:val="28"/>
          <w:szCs w:val="28"/>
        </w:rPr>
        <w:t>（4）声环境</w:t>
      </w:r>
    </w:p>
    <w:p>
      <w:pPr>
        <w:spacing w:line="500" w:lineRule="exact"/>
        <w:ind w:firstLine="560" w:firstLineChars="200"/>
        <w:rPr>
          <w:rFonts w:eastAsia="仿宋_GB2312"/>
          <w:sz w:val="28"/>
          <w:szCs w:val="28"/>
        </w:rPr>
      </w:pPr>
      <w:r>
        <w:rPr>
          <w:rFonts w:hint="eastAsia" w:eastAsia="仿宋_GB2312"/>
          <w:sz w:val="28"/>
          <w:szCs w:val="28"/>
        </w:rPr>
        <w:t>根据声环境质量现状监测结果，监测期间各监测点位的昼间、夜间噪声监测值均符合《声环境质量标准》（GB 3096-2008）中相应声环境功能区标准限值要求。</w:t>
      </w:r>
    </w:p>
    <w:p>
      <w:pPr>
        <w:spacing w:line="500" w:lineRule="exact"/>
        <w:ind w:firstLine="562" w:firstLineChars="200"/>
        <w:rPr>
          <w:rFonts w:eastAsia="仿宋_GB2312"/>
          <w:b/>
          <w:bCs/>
          <w:sz w:val="28"/>
          <w:szCs w:val="28"/>
        </w:rPr>
      </w:pPr>
      <w:r>
        <w:rPr>
          <w:rFonts w:hint="eastAsia" w:eastAsia="仿宋_GB2312"/>
          <w:b/>
          <w:bCs/>
          <w:sz w:val="28"/>
          <w:szCs w:val="28"/>
        </w:rPr>
        <w:t>（5）土壤环境</w:t>
      </w:r>
    </w:p>
    <w:p>
      <w:pPr>
        <w:spacing w:line="500" w:lineRule="exact"/>
        <w:ind w:firstLine="560" w:firstLineChars="200"/>
        <w:rPr>
          <w:rFonts w:eastAsia="仿宋_GB2312"/>
          <w:sz w:val="28"/>
          <w:szCs w:val="28"/>
        </w:rPr>
        <w:sectPr>
          <w:pgSz w:w="11906" w:h="16838"/>
          <w:pgMar w:top="1440" w:right="1800" w:bottom="1440" w:left="1800" w:header="851" w:footer="992" w:gutter="0"/>
          <w:cols w:space="425" w:num="1"/>
          <w:docGrid w:type="lines" w:linePitch="312" w:charSpace="0"/>
        </w:sectPr>
      </w:pPr>
      <w:r>
        <w:rPr>
          <w:rFonts w:hint="eastAsia" w:eastAsia="仿宋_GB2312"/>
          <w:sz w:val="28"/>
          <w:szCs w:val="28"/>
        </w:rPr>
        <w:t>根据土壤环境质量现状监测结果，监测期间所有监测点位各项指标监测值均低于《土壤环境质量 建设用地土壤污染风险管控标准（试行）》（GB36600-2018）中第二类用地的筛选值和《土壤环境质量 农用地土壤污染风险管控标准(试行)》（GB15618-2018）相应的筛选值。</w:t>
      </w:r>
    </w:p>
    <w:bookmarkEnd w:id="30"/>
    <w:p>
      <w:pPr>
        <w:pStyle w:val="2"/>
      </w:pPr>
      <w:bookmarkStart w:id="31" w:name="_Toc86679258"/>
      <w:r>
        <w:t>4 环境影响预测结论</w:t>
      </w:r>
      <w:bookmarkEnd w:id="31"/>
    </w:p>
    <w:p>
      <w:pPr>
        <w:spacing w:line="500" w:lineRule="exact"/>
        <w:ind w:firstLine="562" w:firstLineChars="200"/>
        <w:rPr>
          <w:rFonts w:eastAsia="仿宋_GB2312"/>
          <w:b/>
          <w:bCs/>
          <w:sz w:val="28"/>
          <w:szCs w:val="28"/>
        </w:rPr>
      </w:pPr>
      <w:bookmarkStart w:id="32" w:name="_Hlk55642365"/>
      <w:r>
        <w:rPr>
          <w:rFonts w:hint="eastAsia" w:eastAsia="仿宋_GB2312"/>
          <w:b/>
          <w:bCs/>
          <w:sz w:val="28"/>
          <w:szCs w:val="28"/>
        </w:rPr>
        <w:t>（1）大气环境</w:t>
      </w:r>
    </w:p>
    <w:p>
      <w:pPr>
        <w:spacing w:line="500" w:lineRule="exact"/>
        <w:ind w:firstLine="560" w:firstLineChars="200"/>
        <w:rPr>
          <w:rFonts w:eastAsia="仿宋_GB2312"/>
          <w:sz w:val="28"/>
          <w:szCs w:val="28"/>
        </w:rPr>
      </w:pPr>
      <w:r>
        <w:rPr>
          <w:rFonts w:hint="eastAsia" w:eastAsia="仿宋_GB2312"/>
          <w:sz w:val="28"/>
          <w:szCs w:val="28"/>
        </w:rPr>
        <w:t>规划期末园区排放的SO</w:t>
      </w:r>
      <w:r>
        <w:rPr>
          <w:rFonts w:hint="eastAsia" w:eastAsia="仿宋_GB2312"/>
          <w:sz w:val="28"/>
          <w:szCs w:val="28"/>
          <w:vertAlign w:val="subscript"/>
        </w:rPr>
        <w:t>2</w:t>
      </w:r>
      <w:r>
        <w:rPr>
          <w:rFonts w:hint="eastAsia" w:eastAsia="仿宋_GB2312"/>
          <w:sz w:val="28"/>
          <w:szCs w:val="28"/>
        </w:rPr>
        <w:t>、NO</w:t>
      </w:r>
      <w:r>
        <w:rPr>
          <w:rFonts w:hint="eastAsia" w:eastAsia="仿宋_GB2312"/>
          <w:sz w:val="28"/>
          <w:szCs w:val="28"/>
          <w:vertAlign w:val="subscript"/>
        </w:rPr>
        <w:t>2</w:t>
      </w:r>
      <w:r>
        <w:rPr>
          <w:rFonts w:hint="eastAsia" w:eastAsia="仿宋_GB2312"/>
          <w:sz w:val="28"/>
          <w:szCs w:val="28"/>
        </w:rPr>
        <w:t>、PM</w:t>
      </w:r>
      <w:r>
        <w:rPr>
          <w:rFonts w:hint="eastAsia" w:eastAsia="仿宋_GB2312"/>
          <w:sz w:val="28"/>
          <w:szCs w:val="28"/>
          <w:vertAlign w:val="subscript"/>
        </w:rPr>
        <w:t>10</w:t>
      </w:r>
      <w:r>
        <w:rPr>
          <w:rFonts w:hint="eastAsia" w:eastAsia="仿宋_GB2312"/>
          <w:sz w:val="28"/>
          <w:szCs w:val="28"/>
        </w:rPr>
        <w:t>、PM</w:t>
      </w:r>
      <w:r>
        <w:rPr>
          <w:rFonts w:hint="eastAsia" w:eastAsia="仿宋_GB2312"/>
          <w:sz w:val="28"/>
          <w:szCs w:val="28"/>
          <w:vertAlign w:val="subscript"/>
        </w:rPr>
        <w:t>2.5</w:t>
      </w:r>
      <w:r>
        <w:rPr>
          <w:rFonts w:hint="eastAsia" w:eastAsia="仿宋_GB2312"/>
          <w:sz w:val="28"/>
          <w:szCs w:val="28"/>
        </w:rPr>
        <w:t>的保证率日平均质量浓度和年平均质量浓度均符合二类区环境质量标准；非甲烷总烃、氨、硫化氢、甲苯、二甲苯等对区域及周边大气环境的浓度贡献值叠加现状监测值后，均能够满足环境空气质量标准的要求，不会改变周边的大气环境功能，对区域内大气污染物的影响可接受。</w:t>
      </w:r>
    </w:p>
    <w:p>
      <w:pPr>
        <w:spacing w:line="500" w:lineRule="exact"/>
        <w:ind w:firstLine="562" w:firstLineChars="200"/>
        <w:rPr>
          <w:rFonts w:eastAsia="仿宋_GB2312"/>
          <w:b/>
          <w:bCs/>
          <w:sz w:val="28"/>
          <w:szCs w:val="28"/>
        </w:rPr>
      </w:pPr>
      <w:r>
        <w:rPr>
          <w:rFonts w:hint="eastAsia" w:eastAsia="仿宋_GB2312"/>
          <w:b/>
          <w:bCs/>
          <w:sz w:val="28"/>
          <w:szCs w:val="28"/>
        </w:rPr>
        <w:t>（2）地表水环境</w:t>
      </w:r>
    </w:p>
    <w:p>
      <w:pPr>
        <w:spacing w:line="500" w:lineRule="exact"/>
        <w:ind w:firstLine="560" w:firstLineChars="200"/>
        <w:rPr>
          <w:rFonts w:eastAsia="仿宋_GB2312"/>
          <w:sz w:val="28"/>
          <w:szCs w:val="28"/>
        </w:rPr>
      </w:pPr>
      <w:r>
        <w:rPr>
          <w:rFonts w:hint="eastAsia" w:eastAsia="仿宋_GB2312"/>
          <w:sz w:val="28"/>
          <w:szCs w:val="28"/>
        </w:rPr>
        <w:t>从水量、水质角度分析，规划区产生的污废水具备接管可行性。通过外排水环境影响分析可知，规划区域废水正常排放的条件下，在落实相关整治措施的情况下，地表水环境影响可接受。</w:t>
      </w:r>
    </w:p>
    <w:p>
      <w:pPr>
        <w:spacing w:line="500" w:lineRule="exact"/>
        <w:ind w:firstLine="562" w:firstLineChars="200"/>
        <w:rPr>
          <w:rFonts w:eastAsia="仿宋_GB2312"/>
          <w:b/>
          <w:bCs/>
          <w:sz w:val="28"/>
          <w:szCs w:val="28"/>
        </w:rPr>
      </w:pPr>
      <w:r>
        <w:rPr>
          <w:rFonts w:hint="eastAsia" w:eastAsia="仿宋_GB2312"/>
          <w:b/>
          <w:bCs/>
          <w:sz w:val="28"/>
          <w:szCs w:val="28"/>
        </w:rPr>
        <w:t>（3）地下水环境</w:t>
      </w:r>
    </w:p>
    <w:p>
      <w:pPr>
        <w:spacing w:line="500" w:lineRule="exact"/>
        <w:ind w:firstLine="560" w:firstLineChars="200"/>
        <w:rPr>
          <w:rFonts w:eastAsia="仿宋_GB2312"/>
          <w:sz w:val="28"/>
          <w:szCs w:val="28"/>
        </w:rPr>
      </w:pPr>
      <w:r>
        <w:rPr>
          <w:rFonts w:hint="eastAsia" w:eastAsia="仿宋_GB2312"/>
          <w:sz w:val="28"/>
          <w:szCs w:val="28"/>
        </w:rPr>
        <w:t>正常情况下，在采取分区域防渗后，入区企业生产及生活污水不会对区内地下水水质造成影响。通过典型情景地下水环境影响预测，在园区某企业污水处理池防渗层发生开裂、老化等现象造成污水在无防渗条件的情况下，会在厂区及周边一定范围内污染地下水。</w:t>
      </w:r>
    </w:p>
    <w:p>
      <w:pPr>
        <w:spacing w:line="500" w:lineRule="exact"/>
        <w:ind w:firstLine="562" w:firstLineChars="200"/>
        <w:rPr>
          <w:rFonts w:eastAsia="仿宋_GB2312"/>
          <w:b/>
          <w:bCs/>
          <w:sz w:val="28"/>
          <w:szCs w:val="28"/>
        </w:rPr>
      </w:pPr>
      <w:r>
        <w:rPr>
          <w:rFonts w:hint="eastAsia" w:eastAsia="仿宋_GB2312"/>
          <w:b/>
          <w:bCs/>
          <w:sz w:val="28"/>
          <w:szCs w:val="28"/>
        </w:rPr>
        <w:t>（4）声环境</w:t>
      </w:r>
    </w:p>
    <w:p>
      <w:pPr>
        <w:spacing w:line="500" w:lineRule="exact"/>
        <w:ind w:firstLine="560" w:firstLineChars="200"/>
        <w:rPr>
          <w:rFonts w:eastAsia="仿宋_GB2312"/>
          <w:sz w:val="28"/>
          <w:szCs w:val="28"/>
        </w:rPr>
      </w:pPr>
      <w:r>
        <w:rPr>
          <w:rFonts w:hint="eastAsia" w:eastAsia="仿宋_GB2312"/>
          <w:sz w:val="28"/>
          <w:szCs w:val="28"/>
        </w:rPr>
        <w:t>根据声环境影响预测结果，园区规划末期声环境质量可满足功能区要求，园区应采取优化布局，加强对交通、工业生产、施工等噪声源的控制和监督等措施预防声环境污染，保证区内办公功能不受干扰。</w:t>
      </w:r>
    </w:p>
    <w:p>
      <w:pPr>
        <w:spacing w:line="500" w:lineRule="exact"/>
        <w:ind w:firstLine="562" w:firstLineChars="200"/>
        <w:rPr>
          <w:rFonts w:eastAsia="仿宋_GB2312"/>
          <w:b/>
          <w:bCs/>
          <w:sz w:val="28"/>
          <w:szCs w:val="28"/>
        </w:rPr>
      </w:pPr>
      <w:r>
        <w:rPr>
          <w:rFonts w:hint="eastAsia" w:eastAsia="仿宋_GB2312"/>
          <w:b/>
          <w:bCs/>
          <w:sz w:val="28"/>
          <w:szCs w:val="28"/>
        </w:rPr>
        <w:t>（5）土壤环境</w:t>
      </w:r>
    </w:p>
    <w:p>
      <w:pPr>
        <w:spacing w:line="500" w:lineRule="exact"/>
        <w:ind w:firstLine="560" w:firstLineChars="200"/>
        <w:rPr>
          <w:rFonts w:eastAsia="仿宋_GB2312"/>
          <w:sz w:val="28"/>
          <w:szCs w:val="28"/>
        </w:rPr>
      </w:pPr>
      <w:r>
        <w:rPr>
          <w:rFonts w:hint="eastAsia" w:eastAsia="仿宋_GB2312"/>
          <w:sz w:val="28"/>
          <w:szCs w:val="28"/>
        </w:rPr>
        <w:t>园区建成地块的工业企业在正常情况下对土壤环境基本无影响。只有当区内企业所使用的有毒有害原辅材料发生泄漏的情况下对泄漏点附近的土壤造成一定的影响，但是一般对周边的表层土壤影响很小。危废暂存设施利用防渗结构阻止渗滤液中的污染物向周边土壤环境中迁移，正常情况下对周边土壤影响较小。在园区对固体废物临时堆放场所和运输途径严格管理，并做好区内总体绿化工作的前提下，园区建设对土壤环境影响较小。</w:t>
      </w:r>
    </w:p>
    <w:p>
      <w:pPr>
        <w:spacing w:line="500" w:lineRule="exact"/>
        <w:ind w:firstLine="562" w:firstLineChars="200"/>
        <w:rPr>
          <w:rFonts w:eastAsia="仿宋_GB2312"/>
          <w:b/>
          <w:bCs/>
          <w:sz w:val="28"/>
          <w:szCs w:val="28"/>
        </w:rPr>
      </w:pPr>
      <w:r>
        <w:rPr>
          <w:rFonts w:hint="eastAsia" w:eastAsia="仿宋_GB2312"/>
          <w:b/>
          <w:bCs/>
          <w:sz w:val="28"/>
          <w:szCs w:val="28"/>
        </w:rPr>
        <w:t>（6）生态环境</w:t>
      </w:r>
    </w:p>
    <w:p>
      <w:pPr>
        <w:spacing w:line="500" w:lineRule="exact"/>
        <w:ind w:firstLine="560" w:firstLineChars="200"/>
        <w:rPr>
          <w:rFonts w:eastAsia="仿宋_GB2312"/>
          <w:sz w:val="28"/>
          <w:szCs w:val="28"/>
        </w:rPr>
      </w:pPr>
      <w:r>
        <w:rPr>
          <w:rFonts w:hint="eastAsia" w:eastAsia="仿宋_GB2312"/>
          <w:sz w:val="28"/>
          <w:szCs w:val="28"/>
        </w:rPr>
        <w:t>园区现状开发程度已较高，后续发展过程中通过合理地规划与建设能在很大程度上减轻生态环境的不利影响，基本维持生态环境质量。</w:t>
      </w:r>
    </w:p>
    <w:p>
      <w:pPr>
        <w:spacing w:line="500" w:lineRule="exact"/>
        <w:ind w:firstLine="562" w:firstLineChars="200"/>
        <w:rPr>
          <w:rFonts w:eastAsia="仿宋_GB2312"/>
          <w:b/>
          <w:bCs/>
          <w:sz w:val="28"/>
          <w:szCs w:val="28"/>
        </w:rPr>
      </w:pPr>
      <w:r>
        <w:rPr>
          <w:rFonts w:hint="eastAsia" w:eastAsia="仿宋_GB2312"/>
          <w:b/>
          <w:bCs/>
          <w:sz w:val="28"/>
          <w:szCs w:val="28"/>
        </w:rPr>
        <w:t>（7）环境风险评价</w:t>
      </w:r>
    </w:p>
    <w:p>
      <w:pPr>
        <w:spacing w:line="500" w:lineRule="exact"/>
        <w:ind w:firstLine="560" w:firstLineChars="200"/>
        <w:rPr>
          <w:rFonts w:eastAsia="仿宋_GB2312"/>
          <w:sz w:val="28"/>
          <w:szCs w:val="28"/>
        </w:rPr>
      </w:pPr>
      <w:r>
        <w:rPr>
          <w:rFonts w:hint="eastAsia" w:eastAsia="仿宋_GB2312"/>
          <w:sz w:val="28"/>
          <w:szCs w:val="28"/>
        </w:rPr>
        <w:t>园区主要风险事故的类型是危险物质泄漏、火灾、污水处理设施废水事故排放等，园在落实各项风险防范措施的前提下，环境风险可控。</w:t>
      </w:r>
    </w:p>
    <w:p>
      <w:pPr>
        <w:spacing w:line="500" w:lineRule="exact"/>
        <w:ind w:firstLine="560" w:firstLineChars="200"/>
        <w:rPr>
          <w:rFonts w:eastAsia="仿宋_GB2312"/>
          <w:sz w:val="28"/>
          <w:szCs w:val="28"/>
        </w:rPr>
      </w:pPr>
    </w:p>
    <w:p>
      <w:pPr>
        <w:spacing w:line="500" w:lineRule="exact"/>
        <w:ind w:firstLine="560" w:firstLineChars="200"/>
        <w:rPr>
          <w:rFonts w:eastAsia="仿宋_GB2312"/>
          <w:sz w:val="28"/>
          <w:szCs w:val="28"/>
        </w:rPr>
        <w:sectPr>
          <w:pgSz w:w="11906" w:h="16838"/>
          <w:pgMar w:top="1440" w:right="1800" w:bottom="1440" w:left="1800" w:header="851" w:footer="992" w:gutter="0"/>
          <w:cols w:space="425" w:num="1"/>
          <w:docGrid w:type="lines" w:linePitch="312" w:charSpace="0"/>
        </w:sectPr>
      </w:pPr>
    </w:p>
    <w:bookmarkEnd w:id="32"/>
    <w:p>
      <w:pPr>
        <w:pStyle w:val="2"/>
      </w:pPr>
      <w:bookmarkStart w:id="33" w:name="_Toc86679259"/>
      <w:r>
        <w:t>5 规划方案综合论证</w:t>
      </w:r>
      <w:bookmarkEnd w:id="33"/>
    </w:p>
    <w:p>
      <w:pPr>
        <w:spacing w:line="500" w:lineRule="exact"/>
        <w:ind w:firstLine="560" w:firstLineChars="200"/>
        <w:rPr>
          <w:rFonts w:eastAsia="仿宋_GB2312"/>
          <w:sz w:val="28"/>
          <w:szCs w:val="28"/>
        </w:rPr>
        <w:sectPr>
          <w:pgSz w:w="11906" w:h="16838"/>
          <w:pgMar w:top="1440" w:right="1800" w:bottom="1440" w:left="1800" w:header="851" w:footer="992" w:gutter="0"/>
          <w:cols w:space="425" w:num="1"/>
          <w:docGrid w:type="lines" w:linePitch="312" w:charSpace="0"/>
        </w:sectPr>
      </w:pPr>
      <w:r>
        <w:rPr>
          <w:rFonts w:hint="eastAsia" w:eastAsia="仿宋_GB2312"/>
          <w:sz w:val="28"/>
          <w:szCs w:val="28"/>
        </w:rPr>
        <w:t>集中区本轮规划发展目标与《江苏省主体功能区规划（2011-2020年）》、《长江三角洲区域一体化发展规划纲要》、《南通市国民经济和社会发展第十四个五年规划和二</w:t>
      </w:r>
      <w:r>
        <w:rPr>
          <w:rFonts w:hint="eastAsia" w:ascii="微软雅黑" w:hAnsi="微软雅黑" w:eastAsia="微软雅黑" w:cs="微软雅黑"/>
          <w:sz w:val="28"/>
          <w:szCs w:val="28"/>
        </w:rPr>
        <w:t>〇</w:t>
      </w:r>
      <w:r>
        <w:rPr>
          <w:rFonts w:hint="eastAsia" w:ascii="仿宋_GB2312" w:hAnsi="仿宋_GB2312" w:eastAsia="仿宋_GB2312" w:cs="仿宋_GB2312"/>
          <w:sz w:val="28"/>
          <w:szCs w:val="28"/>
        </w:rPr>
        <w:t>三五年远景目标纲要》</w:t>
      </w:r>
      <w:r>
        <w:rPr>
          <w:rFonts w:hint="eastAsia" w:ascii="仿宋_GB2312" w:hAnsi="微软雅黑" w:eastAsia="仿宋_GB2312" w:cs="微软雅黑"/>
          <w:sz w:val="28"/>
          <w:szCs w:val="28"/>
        </w:rPr>
        <w:t>等</w:t>
      </w:r>
      <w:r>
        <w:rPr>
          <w:rFonts w:eastAsia="仿宋_GB2312"/>
          <w:sz w:val="28"/>
          <w:szCs w:val="28"/>
        </w:rPr>
        <w:t>要求相</w:t>
      </w:r>
      <w:r>
        <w:rPr>
          <w:rFonts w:hint="eastAsia" w:eastAsia="仿宋_GB2312"/>
          <w:sz w:val="28"/>
          <w:szCs w:val="28"/>
        </w:rPr>
        <w:t>协调</w:t>
      </w:r>
      <w:r>
        <w:rPr>
          <w:rFonts w:eastAsia="仿宋_GB2312"/>
          <w:sz w:val="28"/>
          <w:szCs w:val="28"/>
        </w:rPr>
        <w:t>；</w:t>
      </w:r>
      <w:r>
        <w:rPr>
          <w:rFonts w:hint="eastAsia" w:eastAsia="仿宋_GB2312"/>
          <w:sz w:val="28"/>
          <w:szCs w:val="28"/>
        </w:rPr>
        <w:t>规划发展产业与《产业结构调整指导目录（2019年本，2021年修订）》、《外商投资准入特别管理措施（负面清单）（2022年版）》、《鼓励外商投资产业目录》（2022年版）、《产业转移指导目录（2018年本）》、《长江经济带发展负面清单指南（试行，2022年版）》、《&lt;长江经济带发展负面清单指南（试行，2022年版）&gt;江苏省实施细则》等要求相协调。</w:t>
      </w:r>
      <w:r>
        <w:rPr>
          <w:rFonts w:eastAsia="仿宋_GB2312"/>
          <w:sz w:val="28"/>
          <w:szCs w:val="28"/>
        </w:rPr>
        <w:t>在生态环境保护方面</w:t>
      </w:r>
      <w:r>
        <w:rPr>
          <w:rFonts w:hint="eastAsia" w:eastAsia="仿宋_GB2312"/>
          <w:sz w:val="28"/>
          <w:szCs w:val="28"/>
        </w:rPr>
        <w:t>与《中共中央国务院关于全面加强生态环境保护坚决打好污染防治攻坚战的意见》、《国务院关于印发水污染防治行动计划的通知》（国发〔2015〕17号）、《关于印发&lt;重点行业挥发性有机物综合治理方案&gt;的通知》（环大气〔2019〕53号）、《土壤污染防治行动计划》（国发〔2016〕31号）、《江苏省大气污染防治条例》（2018年11月23日修订）、《江苏省水污染防治工作方案》（苏政发〔2015〕175号）</w:t>
      </w:r>
      <w:r>
        <w:rPr>
          <w:rFonts w:eastAsia="仿宋_GB2312"/>
          <w:sz w:val="28"/>
          <w:szCs w:val="28"/>
        </w:rPr>
        <w:t>等相关环境保护法规、政策及规划要求相</w:t>
      </w:r>
      <w:r>
        <w:rPr>
          <w:rFonts w:hint="eastAsia" w:eastAsia="仿宋_GB2312"/>
          <w:sz w:val="28"/>
          <w:szCs w:val="28"/>
        </w:rPr>
        <w:t>协调</w:t>
      </w:r>
      <w:r>
        <w:rPr>
          <w:rFonts w:eastAsia="仿宋_GB2312"/>
          <w:sz w:val="28"/>
          <w:szCs w:val="28"/>
        </w:rPr>
        <w:t>。</w:t>
      </w:r>
      <w:r>
        <w:rPr>
          <w:rFonts w:hint="eastAsia" w:eastAsia="仿宋_GB2312"/>
          <w:sz w:val="28"/>
          <w:szCs w:val="28"/>
        </w:rPr>
        <w:t>集中区本轮规划在发展目标、产业定位、产业发展规模、产业布局规划以及基础设施规划等方面具有一定环境合理性。</w:t>
      </w:r>
    </w:p>
    <w:p>
      <w:pPr>
        <w:pStyle w:val="2"/>
      </w:pPr>
      <w:bookmarkStart w:id="34" w:name="_Toc86679260"/>
      <w:r>
        <w:t>6 环境影响减缓措施</w:t>
      </w:r>
      <w:bookmarkEnd w:id="34"/>
    </w:p>
    <w:p>
      <w:pPr>
        <w:spacing w:line="500" w:lineRule="exact"/>
        <w:ind w:firstLine="562" w:firstLineChars="200"/>
        <w:rPr>
          <w:rFonts w:eastAsia="仿宋_GB2312"/>
          <w:b/>
          <w:bCs/>
          <w:sz w:val="28"/>
          <w:szCs w:val="28"/>
        </w:rPr>
      </w:pPr>
      <w:r>
        <w:rPr>
          <w:rFonts w:eastAsia="仿宋_GB2312"/>
          <w:b/>
          <w:bCs/>
          <w:sz w:val="28"/>
          <w:szCs w:val="28"/>
        </w:rPr>
        <w:t>（1）大气</w:t>
      </w:r>
    </w:p>
    <w:p>
      <w:pPr>
        <w:spacing w:line="500" w:lineRule="exact"/>
        <w:ind w:firstLine="560" w:firstLineChars="200"/>
        <w:rPr>
          <w:rFonts w:hint="eastAsia" w:eastAsia="仿宋_GB2312"/>
          <w:bCs/>
          <w:sz w:val="28"/>
          <w:szCs w:val="28"/>
        </w:rPr>
      </w:pPr>
      <w:r>
        <w:rPr>
          <w:rFonts w:hint="eastAsia" w:eastAsia="仿宋_GB2312"/>
          <w:bCs/>
          <w:sz w:val="28"/>
          <w:szCs w:val="28"/>
        </w:rPr>
        <w:t>规划期，集中供热无法满足生产工艺需要且确实需要用热的，企业自建锅炉必须采用清洁能源。</w:t>
      </w:r>
    </w:p>
    <w:p>
      <w:pPr>
        <w:spacing w:line="500" w:lineRule="exact"/>
        <w:ind w:firstLine="560" w:firstLineChars="200"/>
        <w:rPr>
          <w:rFonts w:eastAsia="仿宋_GB2312"/>
          <w:bCs/>
          <w:sz w:val="28"/>
          <w:szCs w:val="28"/>
        </w:rPr>
      </w:pPr>
      <w:r>
        <w:rPr>
          <w:rFonts w:hint="eastAsia" w:eastAsia="仿宋_GB2312"/>
          <w:bCs/>
          <w:sz w:val="28"/>
          <w:szCs w:val="28"/>
        </w:rPr>
        <w:t>工业集中区应优化园区能源结构，从源头削减大气污染物排放。严格禁止区内企业新建燃煤、燃重油等重污染燃料锅炉或工业炉窑，由于生产工艺需要自建锅炉的项目，应使用天然气、电等清洁能源，燃气等锅炉同时要求实施低氮燃烧改造以满足《锅炉大气污染物排放标准》（DB32/4385-2022）要求。</w:t>
      </w:r>
    </w:p>
    <w:p>
      <w:pPr>
        <w:spacing w:line="500" w:lineRule="exact"/>
        <w:ind w:firstLine="560" w:firstLineChars="200"/>
        <w:rPr>
          <w:rFonts w:eastAsia="仿宋_GB2312"/>
          <w:bCs/>
          <w:sz w:val="28"/>
          <w:szCs w:val="28"/>
        </w:rPr>
      </w:pPr>
      <w:r>
        <w:rPr>
          <w:rFonts w:hint="eastAsia" w:eastAsia="仿宋_GB2312"/>
          <w:bCs/>
          <w:sz w:val="28"/>
          <w:szCs w:val="28"/>
        </w:rPr>
        <w:t>加强现有企业废气污染控制。对布局分散、装备水平低、环保设施差的工业企业进行全面排查，实施工业污染源综合整改工作，采取清洁生产改造、污染深度治理、限产限排、停业关闭等措施，确保各工业企业废气污染物达标排放。</w:t>
      </w:r>
    </w:p>
    <w:p>
      <w:pPr>
        <w:spacing w:line="500" w:lineRule="exact"/>
        <w:ind w:firstLine="560" w:firstLineChars="200"/>
        <w:rPr>
          <w:rFonts w:eastAsia="仿宋_GB2312"/>
          <w:bCs/>
          <w:sz w:val="28"/>
          <w:szCs w:val="28"/>
        </w:rPr>
      </w:pPr>
      <w:r>
        <w:rPr>
          <w:rFonts w:hint="eastAsia" w:eastAsia="仿宋_GB2312"/>
          <w:bCs/>
          <w:sz w:val="28"/>
          <w:szCs w:val="28"/>
        </w:rPr>
        <w:t>改进工艺技术，更新生产设备，源头控制挥发性有机污染物的排放。严格执行国家涂料、胶粘剂等产品挥发性有机物限值标准，全面使用低VOCs含量的水性涂料、胶粘剂代替原有的有机溶剂、清洗剂等；加强VOCs末端控制，采用合理工艺对无法回收利用的有机污染物进行处理，减少VOCs排放；有效控制无组织排放，涂料、稀释剂、清洗剂等原辅材料应密闭存储，调配、使用、回收等过程应采用密闭设备或在密闭空间内操作，采用密闭管道或密闭容器等输送。</w:t>
      </w:r>
    </w:p>
    <w:p>
      <w:pPr>
        <w:spacing w:line="500" w:lineRule="exact"/>
        <w:ind w:firstLine="560" w:firstLineChars="200"/>
        <w:rPr>
          <w:rFonts w:eastAsia="仿宋_GB2312"/>
          <w:bCs/>
          <w:sz w:val="28"/>
          <w:szCs w:val="28"/>
        </w:rPr>
      </w:pPr>
      <w:r>
        <w:rPr>
          <w:rFonts w:hint="eastAsia" w:eastAsia="仿宋_GB2312"/>
          <w:bCs/>
          <w:sz w:val="28"/>
          <w:szCs w:val="28"/>
        </w:rPr>
        <w:t>加大工业烟粉尘治理力度。园区应加大资金投入，做好环境日常监督及管理，切实强化工业烟粉尘治理效果，从烟粉尘产生源头入手，降低烟粉尘产生总量，加强末端控制。</w:t>
      </w:r>
    </w:p>
    <w:p>
      <w:pPr>
        <w:spacing w:line="500" w:lineRule="exact"/>
        <w:ind w:firstLine="560" w:firstLineChars="200"/>
        <w:rPr>
          <w:rFonts w:eastAsia="仿宋_GB2312"/>
          <w:bCs/>
          <w:sz w:val="28"/>
          <w:szCs w:val="28"/>
        </w:rPr>
      </w:pPr>
      <w:r>
        <w:rPr>
          <w:rFonts w:hint="eastAsia" w:eastAsia="仿宋_GB2312"/>
          <w:bCs/>
          <w:sz w:val="28"/>
          <w:szCs w:val="28"/>
        </w:rPr>
        <w:t>严格落实大气环境准入条件，提高环保准入门槛，按照国家规定要求严格执行大气污染物特别排放限值。</w:t>
      </w:r>
    </w:p>
    <w:p>
      <w:pPr>
        <w:spacing w:line="500" w:lineRule="exact"/>
        <w:ind w:firstLine="560" w:firstLineChars="200"/>
        <w:rPr>
          <w:rFonts w:eastAsia="仿宋_GB2312"/>
          <w:bCs/>
          <w:sz w:val="28"/>
          <w:szCs w:val="28"/>
        </w:rPr>
      </w:pPr>
      <w:r>
        <w:rPr>
          <w:rFonts w:hint="eastAsia" w:eastAsia="仿宋_GB2312"/>
          <w:bCs/>
          <w:sz w:val="28"/>
          <w:szCs w:val="28"/>
        </w:rPr>
        <w:t>加强开发建筑过程中建筑工地扬尘综合整治，将扬尘防治方案纳入建筑工地开工审批条件，确保实现“6个不开工”、“6个100%”，全面推行“绿色施工”。</w:t>
      </w:r>
    </w:p>
    <w:p>
      <w:pPr>
        <w:spacing w:line="500" w:lineRule="exact"/>
        <w:ind w:firstLine="560" w:firstLineChars="200"/>
        <w:rPr>
          <w:rFonts w:eastAsia="仿宋_GB2312"/>
          <w:bCs/>
          <w:sz w:val="28"/>
          <w:szCs w:val="28"/>
        </w:rPr>
      </w:pPr>
      <w:r>
        <w:rPr>
          <w:rFonts w:hint="eastAsia" w:eastAsia="仿宋_GB2312"/>
          <w:bCs/>
          <w:sz w:val="28"/>
          <w:szCs w:val="28"/>
        </w:rPr>
        <w:t>跟踪督促重点信访投诉企业整改，确保投诉问题整改到位，并在后续管理中进一步加强对企业废气治理措施及废气监测情况、噪声治理措施的监督及检查。</w:t>
      </w:r>
    </w:p>
    <w:p>
      <w:pPr>
        <w:spacing w:line="500" w:lineRule="exact"/>
        <w:ind w:firstLine="562" w:firstLineChars="200"/>
        <w:rPr>
          <w:rFonts w:eastAsia="仿宋_GB2312"/>
          <w:b/>
          <w:bCs/>
          <w:sz w:val="28"/>
          <w:szCs w:val="28"/>
        </w:rPr>
      </w:pPr>
      <w:r>
        <w:rPr>
          <w:rFonts w:eastAsia="仿宋_GB2312"/>
          <w:b/>
          <w:bCs/>
          <w:sz w:val="28"/>
          <w:szCs w:val="28"/>
        </w:rPr>
        <w:t>（2）地表水</w:t>
      </w:r>
    </w:p>
    <w:p>
      <w:pPr>
        <w:spacing w:line="500" w:lineRule="exact"/>
        <w:ind w:firstLine="560" w:firstLineChars="200"/>
        <w:rPr>
          <w:rFonts w:eastAsia="仿宋_GB2312"/>
          <w:bCs/>
          <w:sz w:val="28"/>
        </w:rPr>
      </w:pPr>
      <w:r>
        <w:rPr>
          <w:rFonts w:hint="eastAsia" w:eastAsia="仿宋_GB2312"/>
          <w:bCs/>
          <w:sz w:val="28"/>
        </w:rPr>
        <w:t>严格控制项目准入条件</w:t>
      </w:r>
      <w:r>
        <w:rPr>
          <w:rFonts w:hint="eastAsia" w:eastAsia="仿宋_GB2312"/>
          <w:bCs/>
          <w:sz w:val="28"/>
          <w:szCs w:val="28"/>
        </w:rPr>
        <w:t>，根据产业发展规划，优先引进用水量少且易处理的项目，严格控制对水环境有较大影响的项目进入区内。入区企业内部废水管理，各企业应按照清污分流、雨污分流原则建立完善的排水系统，确保各类废水得到有效收集和处理。鼓励企业实施清洁生产、采用先进生产工艺，减少废水污染物的产生</w:t>
      </w:r>
      <w:bookmarkStart w:id="35" w:name="_Hlk55466886"/>
      <w:r>
        <w:rPr>
          <w:rFonts w:hint="eastAsia" w:eastAsia="仿宋_GB2312"/>
          <w:bCs/>
          <w:sz w:val="28"/>
        </w:rPr>
        <w:t>。</w:t>
      </w:r>
      <w:r>
        <w:rPr>
          <w:rFonts w:eastAsia="仿宋_GB2312"/>
          <w:bCs/>
          <w:sz w:val="28"/>
        </w:rPr>
        <w:t>强化</w:t>
      </w:r>
      <w:r>
        <w:rPr>
          <w:rFonts w:hint="eastAsia" w:eastAsia="仿宋_GB2312"/>
          <w:bCs/>
          <w:sz w:val="28"/>
        </w:rPr>
        <w:t>水环境</w:t>
      </w:r>
      <w:r>
        <w:rPr>
          <w:rFonts w:eastAsia="仿宋_GB2312"/>
          <w:bCs/>
          <w:sz w:val="28"/>
        </w:rPr>
        <w:t>升级治理</w:t>
      </w:r>
      <w:bookmarkEnd w:id="35"/>
      <w:r>
        <w:rPr>
          <w:rFonts w:hint="eastAsia" w:eastAsia="仿宋_GB2312"/>
          <w:bCs/>
          <w:sz w:val="28"/>
        </w:rPr>
        <w:t>，</w:t>
      </w:r>
      <w:r>
        <w:rPr>
          <w:rFonts w:eastAsia="仿宋_GB2312"/>
          <w:bCs/>
          <w:sz w:val="28"/>
          <w:szCs w:val="28"/>
        </w:rPr>
        <w:t>开展水环境综合整治，定期对</w:t>
      </w:r>
      <w:r>
        <w:rPr>
          <w:rFonts w:hint="eastAsia" w:eastAsia="仿宋_GB2312"/>
          <w:bCs/>
          <w:sz w:val="28"/>
          <w:szCs w:val="28"/>
        </w:rPr>
        <w:t>集中区</w:t>
      </w:r>
      <w:r>
        <w:rPr>
          <w:rFonts w:eastAsia="仿宋_GB2312"/>
          <w:bCs/>
          <w:sz w:val="28"/>
          <w:szCs w:val="28"/>
        </w:rPr>
        <w:t>及周边的河流、沟渠进行全面清淤，并实施生态修复</w:t>
      </w:r>
      <w:r>
        <w:rPr>
          <w:rFonts w:hint="eastAsia" w:eastAsia="仿宋_GB2312"/>
          <w:bCs/>
          <w:sz w:val="28"/>
        </w:rPr>
        <w:t>。</w:t>
      </w:r>
      <w:r>
        <w:rPr>
          <w:rFonts w:eastAsia="仿宋_GB2312"/>
          <w:bCs/>
          <w:sz w:val="28"/>
          <w:szCs w:val="28"/>
        </w:rPr>
        <w:t>加强</w:t>
      </w:r>
      <w:r>
        <w:rPr>
          <w:rFonts w:hint="eastAsia" w:eastAsia="仿宋_GB2312"/>
          <w:bCs/>
          <w:sz w:val="28"/>
          <w:szCs w:val="28"/>
        </w:rPr>
        <w:t>集中区</w:t>
      </w:r>
      <w:r>
        <w:rPr>
          <w:rFonts w:eastAsia="仿宋_GB2312"/>
          <w:bCs/>
          <w:sz w:val="28"/>
          <w:szCs w:val="28"/>
        </w:rPr>
        <w:t>生活垃圾收集、转运系统建设。</w:t>
      </w:r>
      <w:bookmarkStart w:id="36" w:name="_Hlk55466993"/>
      <w:r>
        <w:rPr>
          <w:rFonts w:eastAsia="仿宋_GB2312"/>
          <w:bCs/>
          <w:sz w:val="28"/>
        </w:rPr>
        <w:t>推进水资源节约</w:t>
      </w:r>
      <w:bookmarkEnd w:id="36"/>
      <w:r>
        <w:rPr>
          <w:rFonts w:hint="eastAsia" w:eastAsia="仿宋_GB2312"/>
          <w:bCs/>
          <w:sz w:val="28"/>
        </w:rPr>
        <w:t>优化区域水资源配置方案，合理利用河流地表水和雨水，提升企业节水能力和水平。</w:t>
      </w:r>
    </w:p>
    <w:p>
      <w:pPr>
        <w:spacing w:line="500" w:lineRule="exact"/>
        <w:ind w:firstLine="562" w:firstLineChars="200"/>
        <w:rPr>
          <w:rFonts w:eastAsia="仿宋_GB2312"/>
          <w:b/>
          <w:bCs/>
          <w:sz w:val="28"/>
          <w:szCs w:val="28"/>
        </w:rPr>
      </w:pPr>
      <w:r>
        <w:rPr>
          <w:rFonts w:eastAsia="仿宋_GB2312"/>
          <w:b/>
          <w:bCs/>
          <w:sz w:val="28"/>
          <w:szCs w:val="28"/>
        </w:rPr>
        <w:t>（3）地下水</w:t>
      </w:r>
    </w:p>
    <w:p>
      <w:pPr>
        <w:spacing w:line="500" w:lineRule="exact"/>
        <w:ind w:firstLine="560" w:firstLineChars="200"/>
        <w:rPr>
          <w:rFonts w:eastAsia="仿宋_GB2312"/>
          <w:sz w:val="28"/>
          <w:szCs w:val="28"/>
        </w:rPr>
      </w:pPr>
      <w:r>
        <w:rPr>
          <w:rFonts w:eastAsia="仿宋_GB2312"/>
          <w:sz w:val="28"/>
          <w:szCs w:val="28"/>
        </w:rPr>
        <w:t>区域内严格限制开采地下水，加强对区内企业废水排放的监管和工业固废的污染整治，严防废渣液渗漏污染地下水；加强地下水的监测，根据区域地下水流向、污染源分布情况及污染物在地下水中的扩散形式，将地下水污染应急纳入</w:t>
      </w:r>
      <w:r>
        <w:rPr>
          <w:rFonts w:hint="eastAsia" w:eastAsia="仿宋_GB2312"/>
          <w:sz w:val="28"/>
          <w:szCs w:val="28"/>
        </w:rPr>
        <w:t>园区</w:t>
      </w:r>
      <w:r>
        <w:rPr>
          <w:rFonts w:eastAsia="仿宋_GB2312"/>
          <w:sz w:val="28"/>
          <w:szCs w:val="28"/>
        </w:rPr>
        <w:t>整体环境突发应急，一旦发现地下水污染事故，立即启动应急预案、采取应急措施控制地下水污染，并使污染得到治理。</w:t>
      </w:r>
    </w:p>
    <w:p>
      <w:pPr>
        <w:spacing w:line="500" w:lineRule="exact"/>
        <w:ind w:firstLine="562" w:firstLineChars="200"/>
        <w:rPr>
          <w:rFonts w:eastAsia="仿宋_GB2312"/>
          <w:b/>
          <w:bCs/>
          <w:sz w:val="28"/>
          <w:szCs w:val="28"/>
        </w:rPr>
      </w:pPr>
      <w:r>
        <w:rPr>
          <w:rFonts w:eastAsia="仿宋_GB2312"/>
          <w:b/>
          <w:bCs/>
          <w:sz w:val="28"/>
          <w:szCs w:val="28"/>
        </w:rPr>
        <w:t>（4）土壤</w:t>
      </w:r>
    </w:p>
    <w:p>
      <w:pPr>
        <w:spacing w:line="500" w:lineRule="exact"/>
        <w:ind w:firstLine="560" w:firstLineChars="200"/>
        <w:rPr>
          <w:rFonts w:eastAsia="仿宋_GB2312"/>
          <w:sz w:val="32"/>
          <w:szCs w:val="32"/>
        </w:rPr>
      </w:pPr>
      <w:r>
        <w:rPr>
          <w:rFonts w:hint="eastAsia" w:eastAsia="仿宋_GB2312"/>
          <w:sz w:val="28"/>
          <w:szCs w:val="28"/>
        </w:rPr>
        <w:t>严格环境准入，防止新建项目对土壤造成新的污染。建议集中区建立新增建设用地土壤环境强制调查与备案制度，保障新增建设用地土壤环境安全。对明确有污染风险的场地应开展场地修复工作，修复治理工程另行编制环境影响评价文件。强化未污染土壤保护，严控新增土壤污染。</w:t>
      </w:r>
    </w:p>
    <w:p>
      <w:pPr>
        <w:spacing w:line="500" w:lineRule="exact"/>
        <w:ind w:firstLine="562" w:firstLineChars="200"/>
        <w:rPr>
          <w:rFonts w:eastAsia="仿宋_GB2312"/>
          <w:b/>
          <w:bCs/>
          <w:sz w:val="28"/>
          <w:szCs w:val="28"/>
        </w:rPr>
      </w:pPr>
      <w:r>
        <w:rPr>
          <w:rFonts w:eastAsia="仿宋_GB2312"/>
          <w:b/>
          <w:bCs/>
          <w:sz w:val="28"/>
          <w:szCs w:val="28"/>
        </w:rPr>
        <w:t>（5）噪声</w:t>
      </w:r>
    </w:p>
    <w:p>
      <w:pPr>
        <w:spacing w:line="500" w:lineRule="exact"/>
        <w:ind w:firstLine="560" w:firstLineChars="200"/>
        <w:rPr>
          <w:rFonts w:eastAsia="仿宋_GB2312"/>
          <w:sz w:val="28"/>
          <w:szCs w:val="28"/>
        </w:rPr>
      </w:pPr>
      <w:r>
        <w:rPr>
          <w:rFonts w:eastAsia="仿宋_GB2312"/>
          <w:sz w:val="28"/>
          <w:szCs w:val="28"/>
        </w:rPr>
        <w:t>加强工业企业噪声污染的防治与管理；加强交通噪声污染的防治与管理；加强建筑施工噪声的防治与管理。</w:t>
      </w:r>
    </w:p>
    <w:p>
      <w:pPr>
        <w:spacing w:line="500" w:lineRule="exact"/>
        <w:ind w:firstLine="562" w:firstLineChars="200"/>
        <w:rPr>
          <w:rFonts w:eastAsia="仿宋_GB2312"/>
          <w:b/>
          <w:bCs/>
          <w:sz w:val="28"/>
          <w:szCs w:val="28"/>
        </w:rPr>
      </w:pPr>
      <w:r>
        <w:rPr>
          <w:rFonts w:eastAsia="仿宋_GB2312"/>
          <w:b/>
          <w:bCs/>
          <w:sz w:val="28"/>
          <w:szCs w:val="28"/>
        </w:rPr>
        <w:t>（6）固废</w:t>
      </w:r>
    </w:p>
    <w:p>
      <w:pPr>
        <w:spacing w:line="500" w:lineRule="exact"/>
        <w:ind w:firstLine="560" w:firstLineChars="200"/>
        <w:rPr>
          <w:rFonts w:eastAsia="仿宋_GB2312"/>
          <w:sz w:val="28"/>
          <w:szCs w:val="28"/>
        </w:rPr>
      </w:pPr>
      <w:r>
        <w:rPr>
          <w:rFonts w:eastAsia="仿宋_GB2312"/>
          <w:sz w:val="28"/>
          <w:szCs w:val="28"/>
        </w:rPr>
        <w:t>完善固体废物收集系统；加强工业固废的管理与处置；加强危险废物转移处置监管；强化生活垃圾和建筑垃圾综合利用和无害化处置。</w:t>
      </w:r>
    </w:p>
    <w:p>
      <w:pPr>
        <w:pStyle w:val="2"/>
        <w:sectPr>
          <w:pgSz w:w="11906" w:h="16838"/>
          <w:pgMar w:top="1440" w:right="1800" w:bottom="1440" w:left="1800" w:header="851" w:footer="992" w:gutter="0"/>
          <w:cols w:space="425" w:num="1"/>
          <w:docGrid w:type="lines" w:linePitch="312" w:charSpace="0"/>
        </w:sectPr>
      </w:pPr>
    </w:p>
    <w:p>
      <w:pPr>
        <w:pStyle w:val="2"/>
      </w:pPr>
      <w:bookmarkStart w:id="37" w:name="_Toc86679261"/>
      <w:r>
        <w:t>7 公众参与方案</w:t>
      </w:r>
      <w:bookmarkEnd w:id="37"/>
    </w:p>
    <w:p>
      <w:pPr>
        <w:spacing w:line="500" w:lineRule="exact"/>
        <w:ind w:firstLine="562" w:firstLineChars="200"/>
        <w:rPr>
          <w:rFonts w:eastAsia="仿宋_GB2312"/>
          <w:b/>
          <w:bCs/>
          <w:sz w:val="28"/>
          <w:szCs w:val="28"/>
        </w:rPr>
      </w:pPr>
      <w:r>
        <w:rPr>
          <w:rFonts w:eastAsia="仿宋_GB2312"/>
          <w:b/>
          <w:bCs/>
          <w:sz w:val="28"/>
          <w:szCs w:val="28"/>
        </w:rPr>
        <w:t>（1）公开环境信息的次数、内容、方式</w:t>
      </w:r>
    </w:p>
    <w:p>
      <w:pPr>
        <w:wordWrap w:val="0"/>
        <w:spacing w:line="500" w:lineRule="exact"/>
        <w:ind w:firstLine="560" w:firstLineChars="200"/>
        <w:rPr>
          <w:rFonts w:eastAsia="仿宋_GB2312"/>
          <w:sz w:val="28"/>
          <w:szCs w:val="28"/>
        </w:rPr>
      </w:pPr>
      <w:r>
        <w:rPr>
          <w:rFonts w:eastAsia="仿宋_GB2312"/>
          <w:sz w:val="28"/>
          <w:szCs w:val="28"/>
        </w:rPr>
        <w:t>本项目环境影响评价第一次信息发布于</w:t>
      </w:r>
      <w:r>
        <w:rPr>
          <w:rFonts w:hint="eastAsia" w:eastAsia="仿宋_GB2312"/>
          <w:sz w:val="28"/>
          <w:szCs w:val="28"/>
        </w:rPr>
        <w:t>2023年</w:t>
      </w:r>
      <w:r>
        <w:rPr>
          <w:rFonts w:eastAsia="仿宋_GB2312"/>
          <w:sz w:val="28"/>
          <w:szCs w:val="28"/>
        </w:rPr>
        <w:t>9</w:t>
      </w:r>
      <w:r>
        <w:rPr>
          <w:rFonts w:hint="eastAsia" w:eastAsia="仿宋_GB2312"/>
          <w:sz w:val="28"/>
          <w:szCs w:val="28"/>
        </w:rPr>
        <w:t>月</w:t>
      </w:r>
      <w:r>
        <w:rPr>
          <w:rFonts w:eastAsia="仿宋_GB2312"/>
          <w:sz w:val="28"/>
          <w:szCs w:val="28"/>
        </w:rPr>
        <w:t>25</w:t>
      </w:r>
      <w:r>
        <w:rPr>
          <w:rFonts w:hint="eastAsia" w:eastAsia="仿宋_GB2312"/>
          <w:sz w:val="28"/>
          <w:szCs w:val="28"/>
        </w:rPr>
        <w:t>日在南通市如东县人民政府网站（</w:t>
      </w:r>
      <w:r>
        <w:rPr>
          <w:rFonts w:eastAsia="仿宋_GB2312"/>
          <w:sz w:val="28"/>
          <w:szCs w:val="28"/>
        </w:rPr>
        <w:t>http://www.rudong.gov.cn/flz/gggs/content/47dd5475-e870-4270-966f-08fa00fb3669.html</w:t>
      </w:r>
      <w:r>
        <w:rPr>
          <w:rFonts w:hint="eastAsia" w:eastAsia="仿宋_GB2312"/>
          <w:sz w:val="28"/>
          <w:szCs w:val="28"/>
        </w:rPr>
        <w:t>）公开</w:t>
      </w:r>
      <w:r>
        <w:rPr>
          <w:rFonts w:eastAsia="仿宋_GB2312"/>
          <w:sz w:val="28"/>
          <w:szCs w:val="28"/>
        </w:rPr>
        <w:t>发布，对</w:t>
      </w:r>
      <w:r>
        <w:rPr>
          <w:rFonts w:hint="eastAsia" w:eastAsia="仿宋_GB2312"/>
          <w:sz w:val="28"/>
          <w:szCs w:val="28"/>
        </w:rPr>
        <w:t>如东县丰利镇工业集中区的</w:t>
      </w:r>
      <w:r>
        <w:rPr>
          <w:rFonts w:eastAsia="仿宋_GB2312"/>
          <w:sz w:val="28"/>
          <w:szCs w:val="28"/>
        </w:rPr>
        <w:t>基本概况和环评的主要工作内容作了介绍。</w:t>
      </w:r>
    </w:p>
    <w:p>
      <w:pPr>
        <w:wordWrap w:val="0"/>
        <w:spacing w:line="500" w:lineRule="exact"/>
        <w:ind w:firstLine="560" w:firstLineChars="200"/>
        <w:rPr>
          <w:rFonts w:eastAsia="仿宋_GB2312"/>
          <w:sz w:val="28"/>
          <w:szCs w:val="28"/>
        </w:rPr>
      </w:pPr>
      <w:r>
        <w:rPr>
          <w:rFonts w:eastAsia="仿宋_GB2312"/>
          <w:sz w:val="28"/>
          <w:szCs w:val="28"/>
        </w:rPr>
        <w:t>本项目环境影响评价第二次信息将通过</w:t>
      </w:r>
      <w:r>
        <w:rPr>
          <w:rFonts w:hint="eastAsia" w:eastAsia="仿宋_GB2312"/>
          <w:sz w:val="28"/>
          <w:szCs w:val="28"/>
        </w:rPr>
        <w:t>南通市如东县人民政府网站</w:t>
      </w:r>
      <w:r>
        <w:rPr>
          <w:rFonts w:eastAsia="仿宋_GB2312"/>
          <w:sz w:val="28"/>
          <w:szCs w:val="28"/>
        </w:rPr>
        <w:t>公开发布，对</w:t>
      </w:r>
      <w:r>
        <w:rPr>
          <w:rFonts w:hint="eastAsia" w:eastAsia="仿宋_GB2312"/>
          <w:sz w:val="28"/>
          <w:szCs w:val="28"/>
        </w:rPr>
        <w:t>如东县丰利镇工业集中区</w:t>
      </w:r>
      <w:r>
        <w:rPr>
          <w:rFonts w:eastAsia="仿宋_GB2312"/>
          <w:sz w:val="28"/>
          <w:szCs w:val="28"/>
        </w:rPr>
        <w:t>的情况和环评的主要工作内容作进一步介绍，并同时链接公布本报告书征求意见稿。</w:t>
      </w:r>
    </w:p>
    <w:p>
      <w:pPr>
        <w:spacing w:line="500" w:lineRule="exact"/>
        <w:ind w:firstLine="560" w:firstLineChars="200"/>
        <w:rPr>
          <w:rFonts w:eastAsia="仿宋_GB2312"/>
          <w:sz w:val="28"/>
          <w:szCs w:val="28"/>
        </w:rPr>
      </w:pPr>
      <w:r>
        <w:rPr>
          <w:rFonts w:eastAsia="仿宋_GB2312"/>
          <w:sz w:val="28"/>
          <w:szCs w:val="28"/>
        </w:rPr>
        <w:t>第二次网上公示期间，同步</w:t>
      </w:r>
      <w:r>
        <w:rPr>
          <w:rFonts w:hint="eastAsia" w:eastAsia="仿宋_GB2312"/>
          <w:sz w:val="28"/>
          <w:szCs w:val="28"/>
        </w:rPr>
        <w:t>以张贴公告和</w:t>
      </w:r>
      <w:r>
        <w:rPr>
          <w:rFonts w:eastAsia="仿宋_GB2312"/>
          <w:sz w:val="28"/>
          <w:szCs w:val="28"/>
        </w:rPr>
        <w:t>报纸公示的方式收集评价范围内的公众代表对本规划环境保护方面的意见和建议。</w:t>
      </w:r>
    </w:p>
    <w:p>
      <w:pPr>
        <w:spacing w:line="500" w:lineRule="exact"/>
        <w:ind w:firstLine="562" w:firstLineChars="200"/>
        <w:rPr>
          <w:rFonts w:eastAsia="仿宋_GB2312"/>
          <w:b/>
          <w:bCs/>
          <w:sz w:val="28"/>
          <w:szCs w:val="28"/>
        </w:rPr>
      </w:pPr>
      <w:r>
        <w:rPr>
          <w:rFonts w:eastAsia="仿宋_GB2312"/>
          <w:b/>
          <w:bCs/>
          <w:sz w:val="28"/>
          <w:szCs w:val="28"/>
        </w:rPr>
        <w:t>（2）征求公众意见的范围、次数、形式</w:t>
      </w:r>
    </w:p>
    <w:p>
      <w:pPr>
        <w:spacing w:line="500" w:lineRule="exact"/>
        <w:ind w:firstLine="560" w:firstLineChars="200"/>
        <w:rPr>
          <w:rFonts w:eastAsia="仿宋_GB2312"/>
          <w:sz w:val="28"/>
          <w:szCs w:val="28"/>
        </w:rPr>
      </w:pPr>
      <w:r>
        <w:rPr>
          <w:rFonts w:eastAsia="仿宋_GB2312"/>
          <w:sz w:val="28"/>
          <w:szCs w:val="28"/>
        </w:rPr>
        <w:t>公众参与的对象包括</w:t>
      </w:r>
      <w:r>
        <w:rPr>
          <w:rFonts w:hint="eastAsia" w:eastAsia="仿宋_GB2312"/>
          <w:sz w:val="28"/>
          <w:szCs w:val="28"/>
        </w:rPr>
        <w:t>园区</w:t>
      </w:r>
      <w:r>
        <w:rPr>
          <w:rFonts w:eastAsia="仿宋_GB2312"/>
          <w:sz w:val="28"/>
          <w:szCs w:val="28"/>
        </w:rPr>
        <w:t>涉及的环境敏感目标，公众可在网上公示期间向</w:t>
      </w:r>
      <w:r>
        <w:rPr>
          <w:rFonts w:hint="eastAsia" w:eastAsia="仿宋_GB2312"/>
          <w:sz w:val="28"/>
          <w:szCs w:val="28"/>
        </w:rPr>
        <w:t>实施</w:t>
      </w:r>
      <w:r>
        <w:rPr>
          <w:rFonts w:eastAsia="仿宋_GB2312"/>
          <w:sz w:val="28"/>
          <w:szCs w:val="28"/>
        </w:rPr>
        <w:t>单位、评价机构发送电子邮件、传真和信函等方式发表意见。</w:t>
      </w:r>
    </w:p>
    <w:p>
      <w:pPr>
        <w:spacing w:line="500" w:lineRule="exact"/>
        <w:ind w:firstLine="560" w:firstLineChars="200"/>
        <w:rPr>
          <w:rFonts w:eastAsia="仿宋_GB2312"/>
          <w:color w:val="FF0000"/>
          <w:sz w:val="28"/>
          <w:szCs w:val="28"/>
        </w:rPr>
      </w:pPr>
    </w:p>
    <w:p>
      <w:pPr>
        <w:pStyle w:val="2"/>
        <w:sectPr>
          <w:pgSz w:w="11906" w:h="16838"/>
          <w:pgMar w:top="1440" w:right="1800" w:bottom="1440" w:left="1800" w:header="851" w:footer="992" w:gutter="0"/>
          <w:cols w:space="425" w:num="1"/>
          <w:docGrid w:type="lines" w:linePitch="312" w:charSpace="0"/>
        </w:sectPr>
      </w:pPr>
    </w:p>
    <w:p>
      <w:pPr>
        <w:pStyle w:val="2"/>
      </w:pPr>
      <w:bookmarkStart w:id="38" w:name="_Toc86679262"/>
      <w:r>
        <w:t>8 环境影响评价总结论</w:t>
      </w:r>
      <w:bookmarkEnd w:id="38"/>
    </w:p>
    <w:p>
      <w:pPr>
        <w:adjustRightInd w:val="0"/>
        <w:snapToGrid w:val="0"/>
        <w:spacing w:line="500" w:lineRule="exact"/>
        <w:ind w:firstLine="560" w:firstLineChars="200"/>
        <w:rPr>
          <w:rFonts w:eastAsia="仿宋_GB2312"/>
          <w:sz w:val="28"/>
          <w:szCs w:val="28"/>
        </w:rPr>
      </w:pPr>
      <w:bookmarkStart w:id="39" w:name="_Hlk67212760"/>
      <w:r>
        <w:rPr>
          <w:rFonts w:hint="eastAsia" w:eastAsia="仿宋_GB2312"/>
          <w:sz w:val="28"/>
          <w:szCs w:val="28"/>
        </w:rPr>
        <w:t>南通市如东县丰利镇工业集中区开发建设规划（202</w:t>
      </w:r>
      <w:r>
        <w:rPr>
          <w:rFonts w:eastAsia="仿宋_GB2312"/>
          <w:sz w:val="28"/>
          <w:szCs w:val="28"/>
        </w:rPr>
        <w:t>3</w:t>
      </w:r>
      <w:r>
        <w:rPr>
          <w:rFonts w:hint="eastAsia" w:eastAsia="仿宋_GB2312"/>
          <w:sz w:val="28"/>
          <w:szCs w:val="28"/>
        </w:rPr>
        <w:t>-2035年）与上层位区域发展规划、产业政策、生态环保相关规划、政策及方案基本相协调，规划配套基础设施完善，能够满足园区发展需求，规划实施对区域环境产生的影响有限，从环境保护的角度分析，在严格落实本报告提出的污染防治措施、风险防范措施、规划优化调整建议等前提下，影响在可接受的范围内，不会降低区域环境功能，南通市如东县丰利镇工业集中区依据本轮规划发展具备环境可行性。</w:t>
      </w:r>
    </w:p>
    <w:bookmarkEnd w:id="39"/>
    <w:p>
      <w:pPr>
        <w:rPr>
          <w:color w:val="FF0000"/>
        </w:rPr>
        <w:sectPr>
          <w:pgSz w:w="11906" w:h="16838"/>
          <w:pgMar w:top="1440" w:right="1800" w:bottom="1440" w:left="1800" w:header="851" w:footer="992" w:gutter="0"/>
          <w:cols w:space="425" w:num="1"/>
          <w:docGrid w:type="lines" w:linePitch="312" w:charSpace="0"/>
        </w:sectPr>
      </w:pPr>
    </w:p>
    <w:p>
      <w:pPr>
        <w:pStyle w:val="2"/>
      </w:pPr>
      <w:bookmarkStart w:id="40" w:name="_Toc86679263"/>
      <w:r>
        <w:t>9 联系方式</w:t>
      </w:r>
      <w:bookmarkEnd w:id="40"/>
    </w:p>
    <w:p>
      <w:pPr>
        <w:spacing w:line="500" w:lineRule="exact"/>
        <w:ind w:firstLine="562" w:firstLineChars="200"/>
        <w:rPr>
          <w:rFonts w:eastAsia="仿宋_GB2312"/>
          <w:b/>
          <w:sz w:val="28"/>
          <w:szCs w:val="28"/>
        </w:rPr>
      </w:pPr>
      <w:r>
        <w:rPr>
          <w:rFonts w:hint="eastAsia" w:eastAsia="仿宋_GB2312"/>
          <w:b/>
          <w:sz w:val="28"/>
          <w:szCs w:val="28"/>
        </w:rPr>
        <w:t>（1）规划实施单位名称及联系方式</w:t>
      </w:r>
    </w:p>
    <w:p>
      <w:pPr>
        <w:spacing w:line="500" w:lineRule="exact"/>
        <w:ind w:firstLine="560" w:firstLineChars="200"/>
        <w:rPr>
          <w:rFonts w:eastAsia="仿宋_GB2312"/>
          <w:bCs/>
          <w:sz w:val="28"/>
          <w:szCs w:val="28"/>
        </w:rPr>
      </w:pPr>
      <w:r>
        <w:rPr>
          <w:rFonts w:hint="eastAsia" w:eastAsia="仿宋_GB2312"/>
          <w:bCs/>
          <w:sz w:val="28"/>
          <w:szCs w:val="28"/>
        </w:rPr>
        <w:t>规划实施单位：如东县丰利镇人民政府</w:t>
      </w:r>
    </w:p>
    <w:p>
      <w:pPr>
        <w:spacing w:line="500" w:lineRule="exact"/>
        <w:ind w:firstLine="560" w:firstLineChars="200"/>
        <w:rPr>
          <w:rFonts w:eastAsia="仿宋_GB2312"/>
          <w:bCs/>
          <w:sz w:val="28"/>
          <w:szCs w:val="28"/>
        </w:rPr>
      </w:pPr>
      <w:r>
        <w:rPr>
          <w:rFonts w:hint="eastAsia" w:eastAsia="仿宋_GB2312"/>
          <w:bCs/>
          <w:sz w:val="28"/>
          <w:szCs w:val="28"/>
        </w:rPr>
        <w:t>联系人：陶庆奇</w:t>
      </w:r>
    </w:p>
    <w:p>
      <w:pPr>
        <w:spacing w:line="500" w:lineRule="exact"/>
        <w:ind w:firstLine="560" w:firstLineChars="200"/>
        <w:rPr>
          <w:rFonts w:hint="default" w:eastAsia="仿宋_GB2312"/>
          <w:bCs/>
          <w:sz w:val="28"/>
          <w:szCs w:val="28"/>
          <w:lang w:val="en-US" w:eastAsia="zh-CN"/>
        </w:rPr>
      </w:pPr>
      <w:r>
        <w:rPr>
          <w:rFonts w:hint="eastAsia" w:eastAsia="仿宋_GB2312"/>
          <w:bCs/>
          <w:sz w:val="28"/>
          <w:szCs w:val="28"/>
        </w:rPr>
        <w:t>联系电话：</w:t>
      </w:r>
      <w:r>
        <w:rPr>
          <w:rFonts w:eastAsia="仿宋_GB2312"/>
          <w:bCs/>
          <w:sz w:val="28"/>
          <w:szCs w:val="28"/>
        </w:rPr>
        <w:t>0513-845810</w:t>
      </w:r>
      <w:r>
        <w:rPr>
          <w:rFonts w:hint="eastAsia" w:eastAsia="仿宋_GB2312"/>
          <w:bCs/>
          <w:sz w:val="28"/>
          <w:szCs w:val="28"/>
          <w:lang w:val="en-US" w:eastAsia="zh-CN"/>
        </w:rPr>
        <w:t>38</w:t>
      </w:r>
    </w:p>
    <w:p>
      <w:pPr>
        <w:spacing w:line="500" w:lineRule="exact"/>
        <w:ind w:firstLine="562" w:firstLineChars="200"/>
        <w:rPr>
          <w:rFonts w:eastAsia="仿宋_GB2312"/>
          <w:b/>
          <w:sz w:val="28"/>
          <w:szCs w:val="28"/>
        </w:rPr>
      </w:pPr>
      <w:r>
        <w:rPr>
          <w:rFonts w:hint="eastAsia" w:eastAsia="仿宋_GB2312"/>
          <w:b/>
          <w:sz w:val="28"/>
          <w:szCs w:val="28"/>
        </w:rPr>
        <w:t>（2）承担环境影响评价工作单位名称及联系方式</w:t>
      </w:r>
    </w:p>
    <w:p>
      <w:pPr>
        <w:spacing w:line="500" w:lineRule="exact"/>
        <w:ind w:firstLine="560" w:firstLineChars="200"/>
        <w:rPr>
          <w:rFonts w:eastAsia="仿宋_GB2312"/>
          <w:bCs/>
          <w:sz w:val="28"/>
          <w:szCs w:val="28"/>
        </w:rPr>
      </w:pPr>
      <w:r>
        <w:rPr>
          <w:rFonts w:hint="eastAsia" w:eastAsia="仿宋_GB2312"/>
          <w:bCs/>
          <w:sz w:val="28"/>
          <w:szCs w:val="28"/>
        </w:rPr>
        <w:t>规划环评单位：南京大学环境规划设计研究院集团股份公司</w:t>
      </w:r>
    </w:p>
    <w:p>
      <w:pPr>
        <w:spacing w:line="500" w:lineRule="exact"/>
        <w:ind w:firstLine="560" w:firstLineChars="200"/>
        <w:rPr>
          <w:rFonts w:eastAsia="仿宋_GB2312"/>
          <w:bCs/>
          <w:sz w:val="28"/>
          <w:szCs w:val="28"/>
        </w:rPr>
      </w:pPr>
      <w:r>
        <w:rPr>
          <w:rFonts w:hint="eastAsia" w:eastAsia="仿宋_GB2312"/>
          <w:bCs/>
          <w:sz w:val="28"/>
          <w:szCs w:val="28"/>
        </w:rPr>
        <w:t>联系地址：南京市鼓楼区汉口路22号</w:t>
      </w:r>
    </w:p>
    <w:p>
      <w:pPr>
        <w:spacing w:line="500" w:lineRule="exact"/>
        <w:ind w:firstLine="560" w:firstLineChars="200"/>
        <w:rPr>
          <w:rFonts w:eastAsia="仿宋_GB2312"/>
          <w:bCs/>
          <w:sz w:val="28"/>
          <w:szCs w:val="28"/>
        </w:rPr>
      </w:pPr>
      <w:r>
        <w:rPr>
          <w:rFonts w:hint="eastAsia" w:eastAsia="仿宋_GB2312"/>
          <w:bCs/>
          <w:sz w:val="28"/>
          <w:szCs w:val="28"/>
        </w:rPr>
        <w:t>联系人：袁工</w:t>
      </w:r>
    </w:p>
    <w:p>
      <w:pPr>
        <w:spacing w:line="500" w:lineRule="exact"/>
        <w:ind w:firstLine="560" w:firstLineChars="200"/>
        <w:rPr>
          <w:rFonts w:eastAsia="仿宋_GB2312"/>
          <w:bCs/>
          <w:sz w:val="28"/>
          <w:szCs w:val="28"/>
        </w:rPr>
      </w:pPr>
      <w:r>
        <w:rPr>
          <w:rFonts w:hint="eastAsia" w:eastAsia="仿宋_GB2312"/>
          <w:bCs/>
          <w:sz w:val="28"/>
          <w:szCs w:val="28"/>
        </w:rPr>
        <w:t>联系电话：025-83686095</w:t>
      </w:r>
    </w:p>
    <w:p>
      <w:pPr>
        <w:spacing w:line="500" w:lineRule="exact"/>
        <w:ind w:firstLine="560" w:firstLineChars="200"/>
        <w:rPr>
          <w:rFonts w:eastAsia="仿宋_GB2312"/>
          <w:bCs/>
          <w:sz w:val="28"/>
          <w:szCs w:val="28"/>
        </w:rPr>
      </w:pPr>
      <w:r>
        <w:rPr>
          <w:rFonts w:hint="eastAsia" w:eastAsia="仿宋_GB2312"/>
          <w:bCs/>
          <w:sz w:val="28"/>
          <w:szCs w:val="28"/>
        </w:rPr>
        <w:t>电子邮箱：rryuan@njuae.cn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785054"/>
      <w:docPartObj>
        <w:docPartGallery w:val="autotext"/>
      </w:docPartObj>
    </w:sdtPr>
    <w:sdtEndPr>
      <w:rPr>
        <w:rFonts w:ascii="Times New Roman" w:hAnsi="Times New Roman" w:cs="Times New Roman"/>
      </w:rPr>
    </w:sdtEndPr>
    <w:sdtContent>
      <w:p>
        <w:pPr>
          <w:pStyle w:val="1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A2FB5"/>
    <w:multiLevelType w:val="multilevel"/>
    <w:tmpl w:val="68EA2FB5"/>
    <w:lvl w:ilvl="0" w:tentative="0">
      <w:start w:val="1"/>
      <w:numFmt w:val="decimal"/>
      <w:lvlText w:val="%1"/>
      <w:lvlJc w:val="left"/>
      <w:pPr>
        <w:ind w:left="425" w:hanging="425"/>
      </w:pPr>
      <w:rPr>
        <w:rFonts w:hint="eastAsia" w:eastAsia="宋体"/>
      </w:rPr>
    </w:lvl>
    <w:lvl w:ilvl="1" w:tentative="0">
      <w:start w:val="1"/>
      <w:numFmt w:val="decimal"/>
      <w:lvlText w:val="%1.%2"/>
      <w:lvlJc w:val="left"/>
      <w:pPr>
        <w:ind w:left="992" w:hanging="567"/>
      </w:pPr>
      <w:rPr>
        <w:rFonts w:hint="eastAsia"/>
      </w:rPr>
    </w:lvl>
    <w:lvl w:ilvl="2" w:tentative="0">
      <w:start w:val="1"/>
      <w:numFmt w:val="decimal"/>
      <w:isLgl/>
      <w:lvlText w:val="%2.%1.%3"/>
      <w:lvlJc w:val="left"/>
      <w:pPr>
        <w:ind w:left="420" w:hanging="42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lvlOverride w:ilvl="0">
      <w:lvl w:ilvl="0" w:tentative="1">
        <w:start w:val="1"/>
        <w:numFmt w:val="decimal"/>
        <w:lvlText w:val="%1"/>
        <w:lvlJc w:val="left"/>
        <w:pPr>
          <w:ind w:left="425" w:hanging="425"/>
        </w:pPr>
        <w:rPr>
          <w:rFonts w:hint="eastAsia" w:eastAsia="宋体"/>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pStyle w:val="6"/>
        <w:lvlText w:val="%2.%1.%3"/>
        <w:lvlJc w:val="left"/>
        <w:pPr>
          <w:ind w:left="420" w:hanging="42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zJlMjJlZjVkYTBmZGMzN2MwMzMzYmQ4OGUxYjcifQ=="/>
  </w:docVars>
  <w:rsids>
    <w:rsidRoot w:val="00A1578A"/>
    <w:rsid w:val="00001066"/>
    <w:rsid w:val="00001FE9"/>
    <w:rsid w:val="00005564"/>
    <w:rsid w:val="00005A6C"/>
    <w:rsid w:val="0001279E"/>
    <w:rsid w:val="00013B60"/>
    <w:rsid w:val="00023AA2"/>
    <w:rsid w:val="00025D7D"/>
    <w:rsid w:val="0003190E"/>
    <w:rsid w:val="00032602"/>
    <w:rsid w:val="0004045A"/>
    <w:rsid w:val="00045AD0"/>
    <w:rsid w:val="000469EA"/>
    <w:rsid w:val="000516A9"/>
    <w:rsid w:val="0005234A"/>
    <w:rsid w:val="0005537D"/>
    <w:rsid w:val="00055770"/>
    <w:rsid w:val="00067D0C"/>
    <w:rsid w:val="0007199F"/>
    <w:rsid w:val="00082A85"/>
    <w:rsid w:val="00087286"/>
    <w:rsid w:val="00092362"/>
    <w:rsid w:val="000A323A"/>
    <w:rsid w:val="000A328A"/>
    <w:rsid w:val="000A472C"/>
    <w:rsid w:val="000B0668"/>
    <w:rsid w:val="000B73F5"/>
    <w:rsid w:val="000C0252"/>
    <w:rsid w:val="000C0364"/>
    <w:rsid w:val="000C48C3"/>
    <w:rsid w:val="000C6F58"/>
    <w:rsid w:val="000D0912"/>
    <w:rsid w:val="000D2BC0"/>
    <w:rsid w:val="000D2C71"/>
    <w:rsid w:val="000D3F3B"/>
    <w:rsid w:val="000D59F4"/>
    <w:rsid w:val="000E2089"/>
    <w:rsid w:val="000E5405"/>
    <w:rsid w:val="000F098C"/>
    <w:rsid w:val="000F3969"/>
    <w:rsid w:val="000F7717"/>
    <w:rsid w:val="00100C4C"/>
    <w:rsid w:val="00111DFD"/>
    <w:rsid w:val="00113A3D"/>
    <w:rsid w:val="001224F7"/>
    <w:rsid w:val="001256BC"/>
    <w:rsid w:val="0013085C"/>
    <w:rsid w:val="0013115B"/>
    <w:rsid w:val="00134A35"/>
    <w:rsid w:val="00145C67"/>
    <w:rsid w:val="001501EB"/>
    <w:rsid w:val="001554FF"/>
    <w:rsid w:val="00155800"/>
    <w:rsid w:val="0015585C"/>
    <w:rsid w:val="00156053"/>
    <w:rsid w:val="001624B4"/>
    <w:rsid w:val="0016521B"/>
    <w:rsid w:val="00170158"/>
    <w:rsid w:val="00181319"/>
    <w:rsid w:val="00182792"/>
    <w:rsid w:val="00185832"/>
    <w:rsid w:val="0019327E"/>
    <w:rsid w:val="00193C71"/>
    <w:rsid w:val="001A18F7"/>
    <w:rsid w:val="001A3E1D"/>
    <w:rsid w:val="001B1E00"/>
    <w:rsid w:val="001B4569"/>
    <w:rsid w:val="001B7C8D"/>
    <w:rsid w:val="001C58D2"/>
    <w:rsid w:val="001C7BA2"/>
    <w:rsid w:val="001D290A"/>
    <w:rsid w:val="001D2918"/>
    <w:rsid w:val="001D403F"/>
    <w:rsid w:val="001D57DA"/>
    <w:rsid w:val="001D61E2"/>
    <w:rsid w:val="001D632E"/>
    <w:rsid w:val="001F1EF0"/>
    <w:rsid w:val="001F360A"/>
    <w:rsid w:val="001F4542"/>
    <w:rsid w:val="00200127"/>
    <w:rsid w:val="00202091"/>
    <w:rsid w:val="0020277D"/>
    <w:rsid w:val="00206949"/>
    <w:rsid w:val="002201C3"/>
    <w:rsid w:val="002245A7"/>
    <w:rsid w:val="0023340D"/>
    <w:rsid w:val="00234800"/>
    <w:rsid w:val="00234ACA"/>
    <w:rsid w:val="00235BE7"/>
    <w:rsid w:val="00241567"/>
    <w:rsid w:val="00242026"/>
    <w:rsid w:val="002420CA"/>
    <w:rsid w:val="00243F98"/>
    <w:rsid w:val="00247B02"/>
    <w:rsid w:val="00256559"/>
    <w:rsid w:val="002577AD"/>
    <w:rsid w:val="00257A18"/>
    <w:rsid w:val="002610B0"/>
    <w:rsid w:val="00261951"/>
    <w:rsid w:val="002653A6"/>
    <w:rsid w:val="002707AD"/>
    <w:rsid w:val="00273C8F"/>
    <w:rsid w:val="00281F36"/>
    <w:rsid w:val="002820DB"/>
    <w:rsid w:val="00282F2A"/>
    <w:rsid w:val="00284AED"/>
    <w:rsid w:val="00286FEC"/>
    <w:rsid w:val="002A0C18"/>
    <w:rsid w:val="002C63EF"/>
    <w:rsid w:val="002D2DC5"/>
    <w:rsid w:val="002D3CF2"/>
    <w:rsid w:val="002D45F9"/>
    <w:rsid w:val="002E11C4"/>
    <w:rsid w:val="002E4E67"/>
    <w:rsid w:val="002E539B"/>
    <w:rsid w:val="002E70B2"/>
    <w:rsid w:val="002E7215"/>
    <w:rsid w:val="002F1E02"/>
    <w:rsid w:val="002F2114"/>
    <w:rsid w:val="002F36FF"/>
    <w:rsid w:val="002F75C4"/>
    <w:rsid w:val="00301492"/>
    <w:rsid w:val="003039A1"/>
    <w:rsid w:val="003067C5"/>
    <w:rsid w:val="00320532"/>
    <w:rsid w:val="00324A71"/>
    <w:rsid w:val="00327BB2"/>
    <w:rsid w:val="00337E12"/>
    <w:rsid w:val="00342176"/>
    <w:rsid w:val="00344671"/>
    <w:rsid w:val="003453FD"/>
    <w:rsid w:val="0034544E"/>
    <w:rsid w:val="00346721"/>
    <w:rsid w:val="00361A7A"/>
    <w:rsid w:val="003677E3"/>
    <w:rsid w:val="00373F4C"/>
    <w:rsid w:val="003825F3"/>
    <w:rsid w:val="00384CBE"/>
    <w:rsid w:val="00390327"/>
    <w:rsid w:val="00391F85"/>
    <w:rsid w:val="00392598"/>
    <w:rsid w:val="003960BF"/>
    <w:rsid w:val="003A02CE"/>
    <w:rsid w:val="003A32F2"/>
    <w:rsid w:val="003A60C3"/>
    <w:rsid w:val="003A63EE"/>
    <w:rsid w:val="003B0AF8"/>
    <w:rsid w:val="003B5F8E"/>
    <w:rsid w:val="003C2260"/>
    <w:rsid w:val="003C4BD5"/>
    <w:rsid w:val="003C5AFB"/>
    <w:rsid w:val="003C6480"/>
    <w:rsid w:val="003C6981"/>
    <w:rsid w:val="003C794D"/>
    <w:rsid w:val="003D2260"/>
    <w:rsid w:val="003D38C6"/>
    <w:rsid w:val="003D3E96"/>
    <w:rsid w:val="003F5A2B"/>
    <w:rsid w:val="00400AC1"/>
    <w:rsid w:val="0040110A"/>
    <w:rsid w:val="00402101"/>
    <w:rsid w:val="00423D4A"/>
    <w:rsid w:val="00427CC1"/>
    <w:rsid w:val="00430B26"/>
    <w:rsid w:val="00434B7B"/>
    <w:rsid w:val="004465DC"/>
    <w:rsid w:val="00446883"/>
    <w:rsid w:val="00460D15"/>
    <w:rsid w:val="00470B94"/>
    <w:rsid w:val="0047404A"/>
    <w:rsid w:val="0048450C"/>
    <w:rsid w:val="004870FF"/>
    <w:rsid w:val="0049292F"/>
    <w:rsid w:val="00497888"/>
    <w:rsid w:val="004A06FD"/>
    <w:rsid w:val="004A466A"/>
    <w:rsid w:val="004A6069"/>
    <w:rsid w:val="004A640C"/>
    <w:rsid w:val="004B4C09"/>
    <w:rsid w:val="004D215B"/>
    <w:rsid w:val="004D58CB"/>
    <w:rsid w:val="004E016B"/>
    <w:rsid w:val="004E0179"/>
    <w:rsid w:val="004E349F"/>
    <w:rsid w:val="004E495B"/>
    <w:rsid w:val="004E5212"/>
    <w:rsid w:val="004E7E5C"/>
    <w:rsid w:val="004F2A2B"/>
    <w:rsid w:val="004F2EC0"/>
    <w:rsid w:val="004F3E7B"/>
    <w:rsid w:val="004F480A"/>
    <w:rsid w:val="0050197F"/>
    <w:rsid w:val="0050526F"/>
    <w:rsid w:val="005060BB"/>
    <w:rsid w:val="005069FA"/>
    <w:rsid w:val="0051009D"/>
    <w:rsid w:val="00513881"/>
    <w:rsid w:val="0051497B"/>
    <w:rsid w:val="00520A57"/>
    <w:rsid w:val="00520B10"/>
    <w:rsid w:val="00521956"/>
    <w:rsid w:val="0052235B"/>
    <w:rsid w:val="00522362"/>
    <w:rsid w:val="00523E58"/>
    <w:rsid w:val="005264A9"/>
    <w:rsid w:val="00530D35"/>
    <w:rsid w:val="005412B7"/>
    <w:rsid w:val="00545A16"/>
    <w:rsid w:val="00546269"/>
    <w:rsid w:val="00553592"/>
    <w:rsid w:val="00576DC6"/>
    <w:rsid w:val="00583F7B"/>
    <w:rsid w:val="00591BB4"/>
    <w:rsid w:val="00595F8D"/>
    <w:rsid w:val="005A4963"/>
    <w:rsid w:val="005A650A"/>
    <w:rsid w:val="005B1B9E"/>
    <w:rsid w:val="005C283D"/>
    <w:rsid w:val="005C2C4F"/>
    <w:rsid w:val="005C3EA9"/>
    <w:rsid w:val="005C4E41"/>
    <w:rsid w:val="005C516A"/>
    <w:rsid w:val="005C77B4"/>
    <w:rsid w:val="005D02F2"/>
    <w:rsid w:val="005D6A4C"/>
    <w:rsid w:val="005E43C0"/>
    <w:rsid w:val="005F1E3A"/>
    <w:rsid w:val="005F4952"/>
    <w:rsid w:val="00622B40"/>
    <w:rsid w:val="006239AE"/>
    <w:rsid w:val="006243CC"/>
    <w:rsid w:val="006246BF"/>
    <w:rsid w:val="00630AF4"/>
    <w:rsid w:val="006312B1"/>
    <w:rsid w:val="006341FB"/>
    <w:rsid w:val="0063434F"/>
    <w:rsid w:val="00636942"/>
    <w:rsid w:val="006435FF"/>
    <w:rsid w:val="00645661"/>
    <w:rsid w:val="0064759F"/>
    <w:rsid w:val="006508D3"/>
    <w:rsid w:val="0065216C"/>
    <w:rsid w:val="00655215"/>
    <w:rsid w:val="00665452"/>
    <w:rsid w:val="00673871"/>
    <w:rsid w:val="00675DBD"/>
    <w:rsid w:val="00687CE4"/>
    <w:rsid w:val="006A258E"/>
    <w:rsid w:val="006A2AF9"/>
    <w:rsid w:val="006A7ACA"/>
    <w:rsid w:val="006B0342"/>
    <w:rsid w:val="006B19B7"/>
    <w:rsid w:val="006B1F00"/>
    <w:rsid w:val="006B45EB"/>
    <w:rsid w:val="006C3D60"/>
    <w:rsid w:val="006D0862"/>
    <w:rsid w:val="006D1687"/>
    <w:rsid w:val="006D2C29"/>
    <w:rsid w:val="006D347C"/>
    <w:rsid w:val="006D7B4F"/>
    <w:rsid w:val="006E5955"/>
    <w:rsid w:val="00712F2B"/>
    <w:rsid w:val="00722A29"/>
    <w:rsid w:val="00725E34"/>
    <w:rsid w:val="00726C40"/>
    <w:rsid w:val="00731B0B"/>
    <w:rsid w:val="007365EB"/>
    <w:rsid w:val="00736E10"/>
    <w:rsid w:val="00743A7E"/>
    <w:rsid w:val="007478B3"/>
    <w:rsid w:val="00750752"/>
    <w:rsid w:val="00756583"/>
    <w:rsid w:val="00756C70"/>
    <w:rsid w:val="00761FE8"/>
    <w:rsid w:val="007654F8"/>
    <w:rsid w:val="00765528"/>
    <w:rsid w:val="00765E19"/>
    <w:rsid w:val="00771DF3"/>
    <w:rsid w:val="00776F74"/>
    <w:rsid w:val="00777F8E"/>
    <w:rsid w:val="00780E8C"/>
    <w:rsid w:val="00781FDC"/>
    <w:rsid w:val="007841CF"/>
    <w:rsid w:val="00785B16"/>
    <w:rsid w:val="00785DD6"/>
    <w:rsid w:val="007973A6"/>
    <w:rsid w:val="00797ACE"/>
    <w:rsid w:val="007A1535"/>
    <w:rsid w:val="007A4A98"/>
    <w:rsid w:val="007A5417"/>
    <w:rsid w:val="007A7C00"/>
    <w:rsid w:val="007B4558"/>
    <w:rsid w:val="007B461B"/>
    <w:rsid w:val="007B530D"/>
    <w:rsid w:val="007B5908"/>
    <w:rsid w:val="007C6552"/>
    <w:rsid w:val="007E0607"/>
    <w:rsid w:val="007E0FAB"/>
    <w:rsid w:val="007E4186"/>
    <w:rsid w:val="007E4FC4"/>
    <w:rsid w:val="007E64A0"/>
    <w:rsid w:val="007F23C7"/>
    <w:rsid w:val="007F2723"/>
    <w:rsid w:val="007F2B63"/>
    <w:rsid w:val="007F3103"/>
    <w:rsid w:val="007F3E9B"/>
    <w:rsid w:val="007F4404"/>
    <w:rsid w:val="0080573D"/>
    <w:rsid w:val="00816C6D"/>
    <w:rsid w:val="00822009"/>
    <w:rsid w:val="00822030"/>
    <w:rsid w:val="008226FE"/>
    <w:rsid w:val="00823BBD"/>
    <w:rsid w:val="00823E02"/>
    <w:rsid w:val="00824A22"/>
    <w:rsid w:val="00825855"/>
    <w:rsid w:val="0083682E"/>
    <w:rsid w:val="008435C6"/>
    <w:rsid w:val="00844198"/>
    <w:rsid w:val="00845E8C"/>
    <w:rsid w:val="00846442"/>
    <w:rsid w:val="008557A6"/>
    <w:rsid w:val="008649FB"/>
    <w:rsid w:val="00866D1E"/>
    <w:rsid w:val="00867157"/>
    <w:rsid w:val="00872CAD"/>
    <w:rsid w:val="00890C2C"/>
    <w:rsid w:val="008924F0"/>
    <w:rsid w:val="0089462A"/>
    <w:rsid w:val="00894B2E"/>
    <w:rsid w:val="00895DF6"/>
    <w:rsid w:val="00897985"/>
    <w:rsid w:val="008B7685"/>
    <w:rsid w:val="008C4A28"/>
    <w:rsid w:val="008C55AD"/>
    <w:rsid w:val="008D1C2A"/>
    <w:rsid w:val="008D209F"/>
    <w:rsid w:val="008D51DE"/>
    <w:rsid w:val="008E3B3C"/>
    <w:rsid w:val="008F1A9D"/>
    <w:rsid w:val="008F1C1B"/>
    <w:rsid w:val="008F1FFB"/>
    <w:rsid w:val="008F53B6"/>
    <w:rsid w:val="00903605"/>
    <w:rsid w:val="00905371"/>
    <w:rsid w:val="009113B1"/>
    <w:rsid w:val="00911AAC"/>
    <w:rsid w:val="009138D3"/>
    <w:rsid w:val="00913E85"/>
    <w:rsid w:val="00920698"/>
    <w:rsid w:val="0092153C"/>
    <w:rsid w:val="00923F14"/>
    <w:rsid w:val="00925C60"/>
    <w:rsid w:val="009373FD"/>
    <w:rsid w:val="00942C41"/>
    <w:rsid w:val="00943B7E"/>
    <w:rsid w:val="00954826"/>
    <w:rsid w:val="009567D2"/>
    <w:rsid w:val="0096720B"/>
    <w:rsid w:val="0097298F"/>
    <w:rsid w:val="0097448B"/>
    <w:rsid w:val="009769D8"/>
    <w:rsid w:val="00982529"/>
    <w:rsid w:val="00984621"/>
    <w:rsid w:val="00990F30"/>
    <w:rsid w:val="00991732"/>
    <w:rsid w:val="009941E6"/>
    <w:rsid w:val="00997DAC"/>
    <w:rsid w:val="009A10BA"/>
    <w:rsid w:val="009A2FB1"/>
    <w:rsid w:val="009A6169"/>
    <w:rsid w:val="009B2858"/>
    <w:rsid w:val="009B3B47"/>
    <w:rsid w:val="009C6821"/>
    <w:rsid w:val="009C6A4D"/>
    <w:rsid w:val="009C7E8C"/>
    <w:rsid w:val="009D1D6C"/>
    <w:rsid w:val="009D589E"/>
    <w:rsid w:val="009E471F"/>
    <w:rsid w:val="009E642F"/>
    <w:rsid w:val="009E65DD"/>
    <w:rsid w:val="009F40C6"/>
    <w:rsid w:val="009F6BAF"/>
    <w:rsid w:val="00A02AA6"/>
    <w:rsid w:val="00A1078E"/>
    <w:rsid w:val="00A108DA"/>
    <w:rsid w:val="00A118C0"/>
    <w:rsid w:val="00A122FA"/>
    <w:rsid w:val="00A1578A"/>
    <w:rsid w:val="00A21DAD"/>
    <w:rsid w:val="00A2534F"/>
    <w:rsid w:val="00A30DCA"/>
    <w:rsid w:val="00A31419"/>
    <w:rsid w:val="00A34BD2"/>
    <w:rsid w:val="00A365AA"/>
    <w:rsid w:val="00A36D31"/>
    <w:rsid w:val="00A37102"/>
    <w:rsid w:val="00A431AA"/>
    <w:rsid w:val="00A52172"/>
    <w:rsid w:val="00A541E9"/>
    <w:rsid w:val="00A551E0"/>
    <w:rsid w:val="00A5590E"/>
    <w:rsid w:val="00A571B9"/>
    <w:rsid w:val="00A86B82"/>
    <w:rsid w:val="00A9303B"/>
    <w:rsid w:val="00A93B5F"/>
    <w:rsid w:val="00A93E02"/>
    <w:rsid w:val="00A945B6"/>
    <w:rsid w:val="00AA0D85"/>
    <w:rsid w:val="00AA2A05"/>
    <w:rsid w:val="00AA2C8B"/>
    <w:rsid w:val="00AC33FC"/>
    <w:rsid w:val="00AC3D4B"/>
    <w:rsid w:val="00AC4CC9"/>
    <w:rsid w:val="00AC6ED1"/>
    <w:rsid w:val="00AD1F22"/>
    <w:rsid w:val="00AD2ACB"/>
    <w:rsid w:val="00AD4A40"/>
    <w:rsid w:val="00AD62A1"/>
    <w:rsid w:val="00AD64A2"/>
    <w:rsid w:val="00AD6CB6"/>
    <w:rsid w:val="00AD7407"/>
    <w:rsid w:val="00AE2D15"/>
    <w:rsid w:val="00AE3997"/>
    <w:rsid w:val="00AE3999"/>
    <w:rsid w:val="00AE7406"/>
    <w:rsid w:val="00AF3967"/>
    <w:rsid w:val="00AF39A1"/>
    <w:rsid w:val="00AF3D1B"/>
    <w:rsid w:val="00AF554B"/>
    <w:rsid w:val="00AF732E"/>
    <w:rsid w:val="00B11886"/>
    <w:rsid w:val="00B12339"/>
    <w:rsid w:val="00B1407F"/>
    <w:rsid w:val="00B20514"/>
    <w:rsid w:val="00B21FC5"/>
    <w:rsid w:val="00B23766"/>
    <w:rsid w:val="00B255EE"/>
    <w:rsid w:val="00B30288"/>
    <w:rsid w:val="00B3084F"/>
    <w:rsid w:val="00B3533D"/>
    <w:rsid w:val="00B45F83"/>
    <w:rsid w:val="00B46245"/>
    <w:rsid w:val="00B57366"/>
    <w:rsid w:val="00B62406"/>
    <w:rsid w:val="00B6291E"/>
    <w:rsid w:val="00B679CA"/>
    <w:rsid w:val="00B72813"/>
    <w:rsid w:val="00B7404B"/>
    <w:rsid w:val="00B827C7"/>
    <w:rsid w:val="00BA330B"/>
    <w:rsid w:val="00BA3719"/>
    <w:rsid w:val="00BA4CBC"/>
    <w:rsid w:val="00BA6305"/>
    <w:rsid w:val="00BB0B4D"/>
    <w:rsid w:val="00BB1EF0"/>
    <w:rsid w:val="00BB53D6"/>
    <w:rsid w:val="00BC52E1"/>
    <w:rsid w:val="00BD0CC1"/>
    <w:rsid w:val="00BD1E14"/>
    <w:rsid w:val="00BD2E96"/>
    <w:rsid w:val="00BD6B39"/>
    <w:rsid w:val="00BE03D7"/>
    <w:rsid w:val="00BE3FB4"/>
    <w:rsid w:val="00BE7409"/>
    <w:rsid w:val="00BF0DA2"/>
    <w:rsid w:val="00BF6564"/>
    <w:rsid w:val="00BF6A80"/>
    <w:rsid w:val="00BF7A35"/>
    <w:rsid w:val="00C01B12"/>
    <w:rsid w:val="00C028F1"/>
    <w:rsid w:val="00C03E11"/>
    <w:rsid w:val="00C1241E"/>
    <w:rsid w:val="00C169A9"/>
    <w:rsid w:val="00C17FD7"/>
    <w:rsid w:val="00C211BE"/>
    <w:rsid w:val="00C27317"/>
    <w:rsid w:val="00C300DB"/>
    <w:rsid w:val="00C337C8"/>
    <w:rsid w:val="00C36AD9"/>
    <w:rsid w:val="00C42987"/>
    <w:rsid w:val="00C452D5"/>
    <w:rsid w:val="00C51647"/>
    <w:rsid w:val="00C53C84"/>
    <w:rsid w:val="00C5452B"/>
    <w:rsid w:val="00C66BEF"/>
    <w:rsid w:val="00C71B31"/>
    <w:rsid w:val="00C72CD1"/>
    <w:rsid w:val="00C77B6C"/>
    <w:rsid w:val="00C867EF"/>
    <w:rsid w:val="00C872F6"/>
    <w:rsid w:val="00C93FD3"/>
    <w:rsid w:val="00C944AD"/>
    <w:rsid w:val="00CA047D"/>
    <w:rsid w:val="00CA0F43"/>
    <w:rsid w:val="00CA324A"/>
    <w:rsid w:val="00CA3D43"/>
    <w:rsid w:val="00CA7983"/>
    <w:rsid w:val="00CA7A93"/>
    <w:rsid w:val="00CC1F04"/>
    <w:rsid w:val="00CC3DC4"/>
    <w:rsid w:val="00CC5C60"/>
    <w:rsid w:val="00CD03F6"/>
    <w:rsid w:val="00CD5E9C"/>
    <w:rsid w:val="00CE4F70"/>
    <w:rsid w:val="00CF08C9"/>
    <w:rsid w:val="00CF2BAD"/>
    <w:rsid w:val="00CF4B44"/>
    <w:rsid w:val="00D0033D"/>
    <w:rsid w:val="00D01438"/>
    <w:rsid w:val="00D1268E"/>
    <w:rsid w:val="00D15A6A"/>
    <w:rsid w:val="00D21112"/>
    <w:rsid w:val="00D21858"/>
    <w:rsid w:val="00D22BAF"/>
    <w:rsid w:val="00D24781"/>
    <w:rsid w:val="00D24FDB"/>
    <w:rsid w:val="00D2503D"/>
    <w:rsid w:val="00D2545E"/>
    <w:rsid w:val="00D27F33"/>
    <w:rsid w:val="00D31306"/>
    <w:rsid w:val="00D350C2"/>
    <w:rsid w:val="00D379DA"/>
    <w:rsid w:val="00D427D9"/>
    <w:rsid w:val="00D42C5F"/>
    <w:rsid w:val="00D44129"/>
    <w:rsid w:val="00D4504F"/>
    <w:rsid w:val="00D4775F"/>
    <w:rsid w:val="00D50198"/>
    <w:rsid w:val="00D5427A"/>
    <w:rsid w:val="00D55BDF"/>
    <w:rsid w:val="00D57B14"/>
    <w:rsid w:val="00D67DF2"/>
    <w:rsid w:val="00D77696"/>
    <w:rsid w:val="00D8685D"/>
    <w:rsid w:val="00D86BE9"/>
    <w:rsid w:val="00D903AC"/>
    <w:rsid w:val="00DA6177"/>
    <w:rsid w:val="00DB135C"/>
    <w:rsid w:val="00DB4DDD"/>
    <w:rsid w:val="00DB7D95"/>
    <w:rsid w:val="00DC3B28"/>
    <w:rsid w:val="00DC3FC1"/>
    <w:rsid w:val="00DC6E65"/>
    <w:rsid w:val="00DD024B"/>
    <w:rsid w:val="00DD1FE1"/>
    <w:rsid w:val="00DD7890"/>
    <w:rsid w:val="00DE000E"/>
    <w:rsid w:val="00DE0A82"/>
    <w:rsid w:val="00DE2F45"/>
    <w:rsid w:val="00DE3469"/>
    <w:rsid w:val="00DE3723"/>
    <w:rsid w:val="00DE422A"/>
    <w:rsid w:val="00DE59B3"/>
    <w:rsid w:val="00DE5D0F"/>
    <w:rsid w:val="00DF0055"/>
    <w:rsid w:val="00DF12BE"/>
    <w:rsid w:val="00DF2A4B"/>
    <w:rsid w:val="00DF7951"/>
    <w:rsid w:val="00E04D5F"/>
    <w:rsid w:val="00E17801"/>
    <w:rsid w:val="00E27617"/>
    <w:rsid w:val="00E31BB6"/>
    <w:rsid w:val="00E32051"/>
    <w:rsid w:val="00E325B4"/>
    <w:rsid w:val="00E335AB"/>
    <w:rsid w:val="00E3575C"/>
    <w:rsid w:val="00E37BF5"/>
    <w:rsid w:val="00E4003B"/>
    <w:rsid w:val="00E41B87"/>
    <w:rsid w:val="00E4207D"/>
    <w:rsid w:val="00E5180A"/>
    <w:rsid w:val="00E52B09"/>
    <w:rsid w:val="00E65735"/>
    <w:rsid w:val="00E65FF2"/>
    <w:rsid w:val="00E74322"/>
    <w:rsid w:val="00E77111"/>
    <w:rsid w:val="00E81C58"/>
    <w:rsid w:val="00E85108"/>
    <w:rsid w:val="00E90A31"/>
    <w:rsid w:val="00E92044"/>
    <w:rsid w:val="00E92715"/>
    <w:rsid w:val="00E9314B"/>
    <w:rsid w:val="00E93E07"/>
    <w:rsid w:val="00EB0D03"/>
    <w:rsid w:val="00EC29EB"/>
    <w:rsid w:val="00EC4488"/>
    <w:rsid w:val="00ED4760"/>
    <w:rsid w:val="00EE41F8"/>
    <w:rsid w:val="00EE472D"/>
    <w:rsid w:val="00EF30A6"/>
    <w:rsid w:val="00F06087"/>
    <w:rsid w:val="00F12772"/>
    <w:rsid w:val="00F152E6"/>
    <w:rsid w:val="00F1740C"/>
    <w:rsid w:val="00F215A9"/>
    <w:rsid w:val="00F236F7"/>
    <w:rsid w:val="00F23A31"/>
    <w:rsid w:val="00F24AE2"/>
    <w:rsid w:val="00F300D0"/>
    <w:rsid w:val="00F32898"/>
    <w:rsid w:val="00F33538"/>
    <w:rsid w:val="00F34FFD"/>
    <w:rsid w:val="00F4463B"/>
    <w:rsid w:val="00F45809"/>
    <w:rsid w:val="00F54289"/>
    <w:rsid w:val="00F56834"/>
    <w:rsid w:val="00F5711C"/>
    <w:rsid w:val="00F5719E"/>
    <w:rsid w:val="00F612E2"/>
    <w:rsid w:val="00F642FE"/>
    <w:rsid w:val="00F75EC2"/>
    <w:rsid w:val="00F76CE4"/>
    <w:rsid w:val="00F819DF"/>
    <w:rsid w:val="00F82B25"/>
    <w:rsid w:val="00F948D7"/>
    <w:rsid w:val="00FA21AA"/>
    <w:rsid w:val="00FA48F6"/>
    <w:rsid w:val="00FB2A28"/>
    <w:rsid w:val="00FC0808"/>
    <w:rsid w:val="00FC5FC2"/>
    <w:rsid w:val="00FC6A40"/>
    <w:rsid w:val="00FD0572"/>
    <w:rsid w:val="00FD150E"/>
    <w:rsid w:val="00FD4147"/>
    <w:rsid w:val="00FD6955"/>
    <w:rsid w:val="00FD7A85"/>
    <w:rsid w:val="00FE0C74"/>
    <w:rsid w:val="00FE5C5B"/>
    <w:rsid w:val="00FF3A14"/>
    <w:rsid w:val="00FF7A47"/>
    <w:rsid w:val="2F0F2DE8"/>
    <w:rsid w:val="33A81FAC"/>
    <w:rsid w:val="347E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adjustRightInd w:val="0"/>
      <w:snapToGrid w:val="0"/>
      <w:spacing w:before="120" w:after="120" w:line="500" w:lineRule="exact"/>
      <w:jc w:val="left"/>
      <w:outlineLvl w:val="0"/>
    </w:pPr>
    <w:rPr>
      <w:rFonts w:eastAsia="仿宋_GB2312"/>
      <w:b/>
      <w:kern w:val="44"/>
      <w:sz w:val="32"/>
      <w:szCs w:val="20"/>
    </w:rPr>
  </w:style>
  <w:style w:type="paragraph" w:styleId="3">
    <w:name w:val="heading 2"/>
    <w:basedOn w:val="1"/>
    <w:next w:val="4"/>
    <w:link w:val="31"/>
    <w:qFormat/>
    <w:uiPriority w:val="0"/>
    <w:pPr>
      <w:keepNext/>
      <w:keepLines/>
      <w:autoSpaceDE w:val="0"/>
      <w:autoSpaceDN w:val="0"/>
      <w:adjustRightInd w:val="0"/>
      <w:snapToGrid w:val="0"/>
      <w:spacing w:before="240" w:after="120" w:line="500" w:lineRule="exact"/>
      <w:jc w:val="left"/>
      <w:textAlignment w:val="baseline"/>
      <w:outlineLvl w:val="1"/>
    </w:pPr>
    <w:rPr>
      <w:rFonts w:eastAsia="仿宋_GB2312"/>
      <w:b/>
      <w:kern w:val="0"/>
      <w:sz w:val="30"/>
      <w:szCs w:val="20"/>
    </w:rPr>
  </w:style>
  <w:style w:type="paragraph" w:styleId="5">
    <w:name w:val="heading 3"/>
    <w:basedOn w:val="1"/>
    <w:next w:val="1"/>
    <w:link w:val="32"/>
    <w:qFormat/>
    <w:uiPriority w:val="0"/>
    <w:pPr>
      <w:keepNext/>
      <w:keepLines/>
      <w:adjustRightInd w:val="0"/>
      <w:snapToGrid w:val="0"/>
      <w:spacing w:before="120" w:after="120" w:line="500" w:lineRule="exact"/>
      <w:outlineLvl w:val="2"/>
    </w:pPr>
    <w:rPr>
      <w:rFonts w:eastAsia="仿宋_GB2312"/>
      <w:b/>
      <w:bCs/>
      <w:sz w:val="28"/>
      <w:szCs w:val="32"/>
    </w:rPr>
  </w:style>
  <w:style w:type="paragraph" w:styleId="6">
    <w:name w:val="heading 4"/>
    <w:basedOn w:val="1"/>
    <w:next w:val="4"/>
    <w:link w:val="28"/>
    <w:qFormat/>
    <w:uiPriority w:val="0"/>
    <w:pPr>
      <w:keepNext/>
      <w:keepLines/>
      <w:numPr>
        <w:ilvl w:val="2"/>
        <w:numId w:val="1"/>
      </w:numPr>
      <w:adjustRightInd w:val="0"/>
      <w:snapToGrid w:val="0"/>
      <w:spacing w:before="78" w:beforeLines="25" w:after="78" w:afterLines="25"/>
      <w:outlineLvl w:val="3"/>
    </w:pPr>
    <w:rPr>
      <w:rFonts w:ascii="Arial" w:hAnsi="Arial" w:eastAsia="仿宋_GB2312"/>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0"/>
    <w:qFormat/>
    <w:uiPriority w:val="0"/>
    <w:pPr>
      <w:ind w:firstLine="420" w:firstLineChars="200"/>
    </w:pPr>
  </w:style>
  <w:style w:type="paragraph" w:styleId="7">
    <w:name w:val="annotation text"/>
    <w:basedOn w:val="1"/>
    <w:link w:val="39"/>
    <w:unhideWhenUsed/>
    <w:qFormat/>
    <w:uiPriority w:val="99"/>
    <w:pPr>
      <w:jc w:val="left"/>
    </w:pPr>
  </w:style>
  <w:style w:type="paragraph" w:styleId="8">
    <w:name w:val="Body Text"/>
    <w:basedOn w:val="1"/>
    <w:link w:val="43"/>
    <w:unhideWhenUsed/>
    <w:qFormat/>
    <w:uiPriority w:val="0"/>
    <w:pPr>
      <w:spacing w:after="120"/>
    </w:pPr>
    <w:rPr>
      <w:rFonts w:ascii="Calibri" w:hAnsi="Calibri"/>
      <w:szCs w:val="22"/>
    </w:rPr>
  </w:style>
  <w:style w:type="paragraph" w:styleId="9">
    <w:name w:val="Body Text Indent"/>
    <w:basedOn w:val="1"/>
    <w:link w:val="46"/>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Balloon Text"/>
    <w:basedOn w:val="1"/>
    <w:link w:val="36"/>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296"/>
      </w:tabs>
      <w:spacing w:line="500" w:lineRule="exact"/>
    </w:pPr>
    <w:rPr>
      <w:rFonts w:eastAsia="仿宋_GB2312"/>
      <w:bCs/>
      <w:sz w:val="24"/>
    </w:rPr>
  </w:style>
  <w:style w:type="paragraph" w:styleId="15">
    <w:name w:val="toc 2"/>
    <w:basedOn w:val="1"/>
    <w:next w:val="1"/>
    <w:unhideWhenUsed/>
    <w:qFormat/>
    <w:uiPriority w:val="39"/>
    <w:pPr>
      <w:ind w:left="420" w:leftChars="200"/>
    </w:pPr>
  </w:style>
  <w:style w:type="paragraph" w:styleId="16">
    <w:name w:val="annotation subject"/>
    <w:basedOn w:val="7"/>
    <w:next w:val="7"/>
    <w:link w:val="40"/>
    <w:semiHidden/>
    <w:unhideWhenUsed/>
    <w:qFormat/>
    <w:uiPriority w:val="99"/>
    <w:rPr>
      <w:b/>
      <w:bCs/>
    </w:rPr>
  </w:style>
  <w:style w:type="table" w:styleId="18">
    <w:name w:val="Table Grid"/>
    <w:basedOn w:val="1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character" w:customStyle="1" w:styleId="23">
    <w:name w:val="页眉 字符"/>
    <w:basedOn w:val="19"/>
    <w:link w:val="13"/>
    <w:qFormat/>
    <w:uiPriority w:val="99"/>
    <w:rPr>
      <w:sz w:val="18"/>
      <w:szCs w:val="18"/>
    </w:rPr>
  </w:style>
  <w:style w:type="character" w:customStyle="1" w:styleId="24">
    <w:name w:val="页脚 字符"/>
    <w:basedOn w:val="19"/>
    <w:link w:val="12"/>
    <w:qFormat/>
    <w:uiPriority w:val="99"/>
    <w:rPr>
      <w:sz w:val="18"/>
      <w:szCs w:val="18"/>
    </w:rPr>
  </w:style>
  <w:style w:type="character" w:customStyle="1" w:styleId="25">
    <w:name w:val="标题 1 Char"/>
    <w:basedOn w:val="19"/>
    <w:qFormat/>
    <w:uiPriority w:val="9"/>
    <w:rPr>
      <w:rFonts w:ascii="Times New Roman" w:hAnsi="Times New Roman" w:eastAsia="宋体" w:cs="Times New Roman"/>
      <w:b/>
      <w:bCs/>
      <w:kern w:val="44"/>
      <w:sz w:val="44"/>
      <w:szCs w:val="44"/>
    </w:rPr>
  </w:style>
  <w:style w:type="character" w:customStyle="1" w:styleId="26">
    <w:name w:val="标题 2 Char"/>
    <w:basedOn w:val="19"/>
    <w:semiHidden/>
    <w:qFormat/>
    <w:uiPriority w:val="9"/>
    <w:rPr>
      <w:rFonts w:asciiTheme="majorHAnsi" w:hAnsiTheme="majorHAnsi" w:eastAsiaTheme="majorEastAsia" w:cstheme="majorBidi"/>
      <w:b/>
      <w:bCs/>
      <w:sz w:val="32"/>
      <w:szCs w:val="32"/>
    </w:rPr>
  </w:style>
  <w:style w:type="character" w:customStyle="1" w:styleId="27">
    <w:name w:val="标题 3 Char"/>
    <w:basedOn w:val="19"/>
    <w:semiHidden/>
    <w:qFormat/>
    <w:uiPriority w:val="9"/>
    <w:rPr>
      <w:rFonts w:ascii="Times New Roman" w:hAnsi="Times New Roman" w:eastAsia="宋体" w:cs="Times New Roman"/>
      <w:b/>
      <w:bCs/>
      <w:sz w:val="32"/>
      <w:szCs w:val="32"/>
    </w:rPr>
  </w:style>
  <w:style w:type="character" w:customStyle="1" w:styleId="28">
    <w:name w:val="标题 4 字符"/>
    <w:basedOn w:val="19"/>
    <w:link w:val="6"/>
    <w:qFormat/>
    <w:uiPriority w:val="0"/>
    <w:rPr>
      <w:rFonts w:ascii="Arial" w:hAnsi="Arial" w:eastAsia="仿宋_GB2312" w:cs="Times New Roman"/>
      <w:b/>
      <w:bCs/>
      <w:sz w:val="28"/>
      <w:szCs w:val="28"/>
    </w:rPr>
  </w:style>
  <w:style w:type="character" w:customStyle="1" w:styleId="29">
    <w:name w:val="标题 1 字符"/>
    <w:link w:val="2"/>
    <w:qFormat/>
    <w:uiPriority w:val="0"/>
    <w:rPr>
      <w:rFonts w:ascii="Times New Roman" w:hAnsi="Times New Roman" w:eastAsia="仿宋_GB2312" w:cs="Times New Roman"/>
      <w:b/>
      <w:kern w:val="44"/>
      <w:sz w:val="32"/>
      <w:szCs w:val="20"/>
    </w:rPr>
  </w:style>
  <w:style w:type="character" w:customStyle="1" w:styleId="30">
    <w:name w:val="正文缩进 字符"/>
    <w:link w:val="4"/>
    <w:qFormat/>
    <w:uiPriority w:val="0"/>
    <w:rPr>
      <w:rFonts w:ascii="Times New Roman" w:hAnsi="Times New Roman" w:eastAsia="宋体" w:cs="Times New Roman"/>
      <w:szCs w:val="24"/>
    </w:rPr>
  </w:style>
  <w:style w:type="character" w:customStyle="1" w:styleId="31">
    <w:name w:val="标题 2 字符"/>
    <w:link w:val="3"/>
    <w:qFormat/>
    <w:uiPriority w:val="0"/>
    <w:rPr>
      <w:rFonts w:ascii="Times New Roman" w:hAnsi="Times New Roman" w:eastAsia="仿宋_GB2312" w:cs="Times New Roman"/>
      <w:b/>
      <w:kern w:val="0"/>
      <w:sz w:val="30"/>
      <w:szCs w:val="20"/>
    </w:rPr>
  </w:style>
  <w:style w:type="character" w:customStyle="1" w:styleId="32">
    <w:name w:val="标题 3 字符"/>
    <w:link w:val="5"/>
    <w:qFormat/>
    <w:uiPriority w:val="0"/>
    <w:rPr>
      <w:rFonts w:ascii="Times New Roman" w:hAnsi="Times New Roman" w:eastAsia="仿宋_GB2312" w:cs="Times New Roman"/>
      <w:b/>
      <w:bCs/>
      <w:sz w:val="28"/>
      <w:szCs w:val="32"/>
    </w:rPr>
  </w:style>
  <w:style w:type="character" w:customStyle="1" w:styleId="33">
    <w:name w:val="标题 4 Char Char Char Char Char Char Char Char Char Char Char Char Char Char Char Char Char Char Char"/>
    <w:qFormat/>
    <w:uiPriority w:val="0"/>
    <w:rPr>
      <w:rFonts w:ascii="Arial" w:hAnsi="Arial" w:eastAsia="黑体"/>
      <w:b/>
      <w:bCs/>
      <w:snapToGrid w:val="0"/>
      <w:sz w:val="24"/>
      <w:szCs w:val="28"/>
      <w:lang w:val="en-US" w:eastAsia="zh-CN"/>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5">
    <w:name w:val="列出段落1"/>
    <w:basedOn w:val="1"/>
    <w:qFormat/>
    <w:uiPriority w:val="0"/>
    <w:pPr>
      <w:spacing w:line="360" w:lineRule="auto"/>
      <w:ind w:firstLine="420" w:firstLineChars="200"/>
    </w:pPr>
    <w:rPr>
      <w:rFonts w:eastAsia="仿宋_GB2312"/>
      <w:sz w:val="24"/>
    </w:rPr>
  </w:style>
  <w:style w:type="character" w:customStyle="1" w:styleId="36">
    <w:name w:val="批注框文本 字符"/>
    <w:basedOn w:val="19"/>
    <w:link w:val="11"/>
    <w:semiHidden/>
    <w:qFormat/>
    <w:uiPriority w:val="99"/>
    <w:rPr>
      <w:rFonts w:ascii="Times New Roman" w:hAnsi="Times New Roman" w:eastAsia="宋体" w:cs="Times New Roman"/>
      <w:sz w:val="18"/>
      <w:szCs w:val="18"/>
    </w:rPr>
  </w:style>
  <w:style w:type="paragraph" w:styleId="37">
    <w:name w:val="List Paragraph"/>
    <w:basedOn w:val="1"/>
    <w:qFormat/>
    <w:uiPriority w:val="34"/>
    <w:pPr>
      <w:ind w:firstLine="420" w:firstLineChars="200"/>
    </w:pPr>
  </w:style>
  <w:style w:type="paragraph" w:customStyle="1" w:styleId="38">
    <w:name w:val="TOC Heading"/>
    <w:basedOn w:val="2"/>
    <w:next w:val="1"/>
    <w:semiHidden/>
    <w:unhideWhenUsed/>
    <w:qFormat/>
    <w:uiPriority w:val="39"/>
    <w:pPr>
      <w:widowControl/>
      <w:adjustRightInd/>
      <w:snapToGrid/>
      <w:spacing w:before="480" w:after="0" w:line="276" w:lineRule="auto"/>
      <w:outlineLvl w:val="9"/>
    </w:pPr>
    <w:rPr>
      <w:rFonts w:asciiTheme="majorHAnsi" w:hAnsiTheme="majorHAnsi" w:eastAsiaTheme="majorEastAsia" w:cstheme="majorBidi"/>
      <w:bCs/>
      <w:color w:val="376092" w:themeColor="accent1" w:themeShade="BF"/>
      <w:kern w:val="0"/>
      <w:sz w:val="28"/>
      <w:szCs w:val="28"/>
    </w:rPr>
  </w:style>
  <w:style w:type="character" w:customStyle="1" w:styleId="39">
    <w:name w:val="批注文字 字符"/>
    <w:basedOn w:val="19"/>
    <w:link w:val="7"/>
    <w:qFormat/>
    <w:uiPriority w:val="99"/>
    <w:rPr>
      <w:rFonts w:ascii="Times New Roman" w:hAnsi="Times New Roman" w:eastAsia="宋体" w:cs="Times New Roman"/>
      <w:szCs w:val="24"/>
    </w:rPr>
  </w:style>
  <w:style w:type="character" w:customStyle="1" w:styleId="40">
    <w:name w:val="批注主题 字符"/>
    <w:basedOn w:val="39"/>
    <w:link w:val="16"/>
    <w:semiHidden/>
    <w:qFormat/>
    <w:uiPriority w:val="99"/>
    <w:rPr>
      <w:rFonts w:ascii="Times New Roman" w:hAnsi="Times New Roman" w:eastAsia="宋体" w:cs="Times New Roman"/>
      <w:b/>
      <w:bCs/>
      <w:szCs w:val="24"/>
    </w:rPr>
  </w:style>
  <w:style w:type="character" w:customStyle="1" w:styleId="41">
    <w:name w:val="正文 文字 Char Char"/>
    <w:link w:val="42"/>
    <w:qFormat/>
    <w:uiPriority w:val="0"/>
    <w:rPr>
      <w:rFonts w:ascii="Arial" w:hAnsi="Arial" w:eastAsia="仿宋_GB2312" w:cs="Times New Roman"/>
      <w:sz w:val="28"/>
      <w:szCs w:val="24"/>
    </w:rPr>
  </w:style>
  <w:style w:type="paragraph" w:customStyle="1" w:styleId="42">
    <w:name w:val="正文 文字"/>
    <w:basedOn w:val="1"/>
    <w:link w:val="41"/>
    <w:qFormat/>
    <w:uiPriority w:val="0"/>
    <w:pPr>
      <w:spacing w:line="500" w:lineRule="exact"/>
      <w:ind w:firstLine="200" w:firstLineChars="200"/>
      <w:jc w:val="left"/>
    </w:pPr>
    <w:rPr>
      <w:rFonts w:ascii="Arial" w:hAnsi="Arial" w:eastAsia="仿宋_GB2312"/>
      <w:sz w:val="28"/>
    </w:rPr>
  </w:style>
  <w:style w:type="character" w:customStyle="1" w:styleId="43">
    <w:name w:val="正文文本 字符"/>
    <w:basedOn w:val="19"/>
    <w:link w:val="8"/>
    <w:qFormat/>
    <w:uiPriority w:val="0"/>
    <w:rPr>
      <w:rFonts w:ascii="Calibri" w:hAnsi="Calibri" w:eastAsia="宋体" w:cs="Times New Roman"/>
    </w:rPr>
  </w:style>
  <w:style w:type="paragraph" w:customStyle="1" w:styleId="44">
    <w:name w:val="!正文(alt+c)"/>
    <w:qFormat/>
    <w:uiPriority w:val="0"/>
    <w:pPr>
      <w:spacing w:line="420" w:lineRule="exact"/>
      <w:ind w:firstLine="480" w:firstLineChars="200"/>
    </w:pPr>
    <w:rPr>
      <w:rFonts w:ascii="Times New Roman" w:hAnsi="Times New Roman" w:eastAsia="宋体" w:cs="Times New Roman"/>
      <w:kern w:val="0"/>
      <w:sz w:val="24"/>
      <w:szCs w:val="24"/>
      <w:lang w:val="en-US" w:eastAsia="zh-CN" w:bidi="ar-SA"/>
    </w:rPr>
  </w:style>
  <w:style w:type="character" w:customStyle="1" w:styleId="45">
    <w:name w:val="正文文本缩进 字符"/>
    <w:basedOn w:val="19"/>
    <w:semiHidden/>
    <w:qFormat/>
    <w:uiPriority w:val="99"/>
    <w:rPr>
      <w:rFonts w:ascii="Times New Roman" w:hAnsi="Times New Roman" w:eastAsia="宋体" w:cs="Times New Roman"/>
      <w:szCs w:val="24"/>
    </w:rPr>
  </w:style>
  <w:style w:type="character" w:customStyle="1" w:styleId="46">
    <w:name w:val="正文文本缩进 字符1"/>
    <w:link w:val="9"/>
    <w:qFormat/>
    <w:uiPriority w:val="0"/>
    <w:rPr>
      <w:rFonts w:ascii="Times New Roman" w:hAnsi="Times New Roman" w:eastAsia="宋体" w:cs="Times New Roman"/>
      <w:szCs w:val="24"/>
    </w:rPr>
  </w:style>
  <w:style w:type="paragraph" w:customStyle="1" w:styleId="4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8AE4-6375-476B-AFE4-E12EEC4EC8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1382</Words>
  <Characters>7881</Characters>
  <Lines>65</Lines>
  <Paragraphs>18</Paragraphs>
  <TotalTime>17</TotalTime>
  <ScaleCrop>false</ScaleCrop>
  <LinksUpToDate>false</LinksUpToDate>
  <CharactersWithSpaces>9245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2021-11-03T02:39:00Z</dcterms:created>
  <dc:creator>JHL</dc:creator>
  <cp:lastModifiedBy>陶庆奇</cp:lastModifiedBy>
  <cp:lastPrinted>2021-04-15T08:48:00Z</cp:lastPrinted>
  <dcterms:modified xsi:type="dcterms:W3CDTF">2023-11-01T01:05:16Z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901CC8B77B1640D792AD03A236ECE95F_12</vt:lpwstr>
  </property>
</Properties>
</file>