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69" w:beforeLines="150" w:after="469" w:afterLines="150" w:line="560" w:lineRule="exact"/>
        <w:jc w:val="center"/>
        <w:textAlignment w:val="auto"/>
        <w:rPr>
          <w:rFonts w:hint="eastAsia" w:ascii="Times New Roman" w:hAnsi="Times New Roman" w:eastAsia="方正黑体_GBK" w:cs="Times New Roman"/>
          <w:snapToGrid w:val="0"/>
          <w:kern w:val="0"/>
          <w:sz w:val="32"/>
          <w:szCs w:val="20"/>
          <w:lang w:eastAsia="zh-CN"/>
        </w:rPr>
      </w:pPr>
      <w:r>
        <w:rPr>
          <w:rFonts w:hint="eastAsia" w:ascii="方正小标宋_GBK" w:hAnsi="方正小标宋_GBK" w:eastAsia="方正小标宋_GBK" w:cs="方正小标宋_GBK"/>
          <w:sz w:val="44"/>
          <w:szCs w:val="44"/>
          <w:lang w:eastAsia="zh-CN"/>
        </w:rPr>
        <w:t>洋口镇（沿海经济开发区）202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lang w:eastAsia="zh-CN"/>
        </w:rPr>
        <w:t>年政府信息公开工作年度报告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80" w:lineRule="exact"/>
        <w:ind w:right="0" w:firstLine="640" w:firstLineChars="200"/>
        <w:jc w:val="left"/>
        <w:textAlignment w:val="auto"/>
        <w:rPr>
          <w:rFonts w:ascii="微软雅黑" w:hAnsi="微软雅黑" w:eastAsia="微软雅黑" w:cs="微软雅黑"/>
          <w:i w:val="0"/>
          <w:iCs w:val="0"/>
          <w:caps w:val="0"/>
          <w:color w:val="333333"/>
          <w:spacing w:val="0"/>
          <w:sz w:val="24"/>
          <w:szCs w:val="24"/>
        </w:rPr>
      </w:pPr>
      <w:r>
        <w:rPr>
          <w:rFonts w:hint="eastAsia" w:ascii="Times New Roman" w:hAnsi="Times New Roman" w:eastAsia="仿宋_GB2312" w:cs="Times New Roman"/>
          <w:kern w:val="2"/>
          <w:sz w:val="32"/>
          <w:szCs w:val="32"/>
          <w:lang w:val="en-US" w:eastAsia="zh-CN" w:bidi="ar-SA"/>
        </w:rPr>
        <w:t>根据《中华人民共和国政府信息公开条例》规定，现公布洋口镇（沿海经济开发区）2022年政府信息公开工作年度报告。所列数据的统计期限从2022年1月1日起到2022年12月31日止。</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80" w:lineRule="exact"/>
        <w:ind w:left="0" w:right="0" w:firstLine="420"/>
        <w:jc w:val="left"/>
        <w:textAlignment w:val="auto"/>
        <w:rPr>
          <w:rFonts w:hint="eastAsia" w:ascii="微软雅黑" w:hAnsi="微软雅黑" w:eastAsia="微软雅黑" w:cs="微软雅黑"/>
          <w:i w:val="0"/>
          <w:iCs w:val="0"/>
          <w:caps w:val="0"/>
          <w:color w:val="333333"/>
          <w:spacing w:val="0"/>
          <w:sz w:val="24"/>
          <w:szCs w:val="24"/>
          <w:shd w:val="clear" w:fill="FFFFFF"/>
          <w:lang w:val="en-US" w:eastAsia="zh-CN"/>
        </w:rPr>
      </w:pPr>
      <w:r>
        <w:rPr>
          <w:rFonts w:hint="eastAsia" w:ascii="微软雅黑" w:hAnsi="微软雅黑" w:eastAsia="微软雅黑" w:cs="微软雅黑"/>
          <w:i w:val="0"/>
          <w:iCs w:val="0"/>
          <w:caps w:val="0"/>
          <w:color w:val="333333"/>
          <w:spacing w:val="0"/>
          <w:sz w:val="24"/>
          <w:szCs w:val="24"/>
          <w:shd w:val="clear" w:fill="FFFFFF"/>
          <w:lang w:val="en-US" w:eastAsia="zh-CN"/>
        </w:rPr>
        <w:t xml:space="preserve"> </w:t>
      </w:r>
      <w:r>
        <w:rPr>
          <w:rFonts w:hint="eastAsia" w:ascii="Times New Roman" w:hAnsi="Times New Roman" w:eastAsia="方正黑体_GBK" w:cs="Times New Roman"/>
          <w:snapToGrid w:val="0"/>
          <w:kern w:val="0"/>
          <w:sz w:val="32"/>
          <w:szCs w:val="20"/>
          <w:lang w:eastAsia="zh-CN"/>
        </w:rPr>
        <w:t>一、总体情况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8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年，洋口镇（沿海经济开发区）坚持以习近平新时代中国特色社会主义思想为指导，全面贯彻党的二十大精神，认真贯彻落实党中央、省、市、县关于政务公开的决策部署，严格按照《国务院办公厅关于印发2022年政务公开工作要点的通知》（国办发〔2022〕8号）要求，持续深入推进政务公开工作，以公开促落实、促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8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eastAsia="仿宋_GB2312" w:cs="Times New Roman"/>
          <w:kern w:val="2"/>
          <w:sz w:val="32"/>
          <w:szCs w:val="32"/>
          <w:lang w:val="en-US" w:eastAsia="zh-CN" w:bidi="ar-SA"/>
        </w:rPr>
        <w:t>（一）</w:t>
      </w:r>
      <w:r>
        <w:rPr>
          <w:rFonts w:hint="default" w:ascii="Times New Roman" w:hAnsi="Times New Roman" w:eastAsia="仿宋_GB2312" w:cs="Times New Roman"/>
          <w:kern w:val="2"/>
          <w:sz w:val="32"/>
          <w:szCs w:val="32"/>
          <w:lang w:val="en-US" w:eastAsia="zh-CN" w:bidi="ar-SA"/>
        </w:rPr>
        <w:t>强化数字赋能，创新公开平台建设。一是健全政务新媒体监管机制。主要负责人为组长，分管负责人为副组长，各职能科室负责人为成员的信息公开领导小组。领导小组下设办公室，办公室设在党政办，具体负责信息公开组织协调、督促检查等工作。二是做好各类规划主动公开。平安综治、司法调解、社会治安、社会保障、供电保障、计划生育规划建设、海洋渔业、农林水利、城市管理等领域，及时通过政府门户网站设立专题，并在政府信息公开专栏集中展示。三是做好财政信息公开。推进本单位预算、决算及相关报表公开。持续深化地方政府债务信息公开，加大惠民惠农政策和资金发放信息公开力度，推动补贴信息公开向村和社区延伸，并与村（居）务公开有效衔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8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eastAsia="仿宋_GB2312" w:cs="Times New Roman"/>
          <w:kern w:val="2"/>
          <w:sz w:val="32"/>
          <w:szCs w:val="32"/>
          <w:lang w:val="en-US" w:eastAsia="zh-CN" w:bidi="ar-SA"/>
        </w:rPr>
        <w:t>（二）</w:t>
      </w:r>
      <w:r>
        <w:rPr>
          <w:rFonts w:hint="default" w:ascii="Times New Roman" w:hAnsi="Times New Roman" w:eastAsia="仿宋_GB2312" w:cs="Times New Roman"/>
          <w:kern w:val="2"/>
          <w:sz w:val="32"/>
          <w:szCs w:val="32"/>
          <w:lang w:val="en-US" w:eastAsia="zh-CN" w:bidi="ar-SA"/>
        </w:rPr>
        <w:t>完善工作机制，规范依申请公开。完善依申请公开办理机制。明确办理规则，完善办理流程。畅通线上、线下申请渠道，完善申请登记、审核、办理、答复归档等办理制度。建立健全政府信息依申请公开转主动公开机制，对依申请公开提供的政府信息同步开展审查研判，符合主动公开条件的及时转为主动公开。主要做好企业项目环境影响信息公开。主动公开各企业建设项目名称、选址、建设内容、环境影响报告书编制单位、公众意见表的网络链接、提交公众意见表的方式和途径等，并根据调整情况做好更新发布，营造公开、诚信、守法的营商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8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2022年全年，我镇（区）主动有效公开政府文件153条，其中公告公示12条，领导分工1次，农业农村工作情况137条，信息公开年报1条，计划总结2条。全年在微信公众号公开518条，全年处理县长信箱信件25件，处理率达到100%，全年向县档案馆报送153份文件。所有决策、执行、管理、服务、结果自成文之日起十日内予以公示。依申请公开自接受、办理、审核、答复、归档，均在二十个工作日内办结，进一步缩短公开时间。全年共收到依申请公开12件，已主动公开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8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优化服务体系，加强监管保障。健全政务公开工作主管部门与宣传、大数据管理等部门的沟通协调机制，完善政府信息公开工作考核、社会评议和责任追究等制度。加强业务指导和监督检查，对年度工作逐级细化分解，涉及本单位的重点任务，梳理形成工作台账，实时跟进推动，确保落实到位。对阶段性工作落实情况开展“回头看”，重点针对有明确责任主体和时限要求的工作任务，逐项核查落实情况，对未完成的依法督促整改。</w:t>
      </w:r>
    </w:p>
    <w:p>
      <w:pPr>
        <w:numPr>
          <w:ilvl w:val="0"/>
          <w:numId w:val="1"/>
        </w:numPr>
        <w:autoSpaceDE w:val="0"/>
        <w:autoSpaceDN w:val="0"/>
        <w:snapToGrid w:val="0"/>
        <w:spacing w:line="590" w:lineRule="atLeast"/>
        <w:ind w:left="0" w:firstLine="624"/>
        <w:rPr>
          <w:rFonts w:hint="eastAsia" w:ascii="Times New Roman" w:hAnsi="Times New Roman" w:eastAsia="方正黑体_GBK" w:cs="Times New Roman"/>
          <w:snapToGrid w:val="0"/>
          <w:kern w:val="0"/>
          <w:sz w:val="32"/>
          <w:szCs w:val="20"/>
          <w:lang w:eastAsia="zh-CN"/>
        </w:rPr>
      </w:pPr>
      <w:r>
        <w:rPr>
          <w:rFonts w:hint="eastAsia" w:ascii="Times New Roman" w:hAnsi="Times New Roman" w:eastAsia="方正黑体_GBK" w:cs="Times New Roman"/>
          <w:snapToGrid w:val="0"/>
          <w:kern w:val="0"/>
          <w:sz w:val="32"/>
          <w:szCs w:val="20"/>
          <w:lang w:eastAsia="zh-CN"/>
        </w:rPr>
        <w:t>主动公开政府信息情况</w:t>
      </w:r>
    </w:p>
    <w:tbl>
      <w:tblPr>
        <w:tblStyle w:val="8"/>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1477"/>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eastAsia="宋体" w:cs="宋体"/>
                <w:color w:val="000000"/>
                <w:kern w:val="0"/>
                <w:sz w:val="20"/>
                <w:szCs w:val="20"/>
              </w:rPr>
              <w:t>本年</w:t>
            </w:r>
            <w:r>
              <w:rPr>
                <w:rFonts w:hint="eastAsia" w:ascii="宋体" w:cs="宋体"/>
                <w:color w:val="000000"/>
                <w:kern w:val="0"/>
                <w:sz w:val="20"/>
                <w:szCs w:val="20"/>
                <w:lang w:eastAsia="zh-CN"/>
              </w:rPr>
              <w:t>制发件数</w:t>
            </w:r>
          </w:p>
        </w:tc>
        <w:tc>
          <w:tcPr>
            <w:tcW w:w="147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eastAsia="宋体" w:cs="宋体"/>
                <w:color w:val="000000"/>
                <w:kern w:val="0"/>
                <w:sz w:val="20"/>
                <w:szCs w:val="20"/>
              </w:rPr>
              <w:t>本年</w:t>
            </w:r>
            <w:r>
              <w:rPr>
                <w:rFonts w:hint="eastAsia" w:ascii="宋体" w:cs="宋体"/>
                <w:color w:val="000000"/>
                <w:kern w:val="0"/>
                <w:sz w:val="20"/>
                <w:szCs w:val="20"/>
                <w:lang w:eastAsia="zh-CN"/>
              </w:rPr>
              <w:t>废止件数</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cs="宋体"/>
                <w:color w:val="000000"/>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c>
          <w:tcPr>
            <w:tcW w:w="1477"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cs="宋体"/>
                <w:color w:val="000000"/>
                <w:kern w:val="0"/>
                <w:sz w:val="20"/>
                <w:szCs w:val="20"/>
                <w:lang w:eastAsia="zh-CN"/>
              </w:rPr>
              <w:t>行政</w:t>
            </w:r>
            <w:r>
              <w:rPr>
                <w:rFonts w:hint="eastAsia" w:asci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c>
          <w:tcPr>
            <w:tcW w:w="1477"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cs="宋体"/>
                <w:color w:val="000000"/>
                <w:kern w:val="0"/>
                <w:sz w:val="20"/>
                <w:szCs w:val="20"/>
                <w:lang w:eastAsia="zh-CN"/>
              </w:rPr>
              <w:t>本年</w:t>
            </w:r>
            <w:r>
              <w:rPr>
                <w:rFonts w:hint="eastAsia" w:ascii="宋体" w:eastAsia="宋体" w:cs="宋体"/>
                <w:color w:val="000000"/>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cs="Times New Roman"/>
                <w:kern w:val="0"/>
                <w:sz w:val="24"/>
                <w:szCs w:val="24"/>
                <w:lang w:val="en-US" w:eastAsia="zh-CN"/>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cs="Times New Roman"/>
                <w:kern w:val="0"/>
                <w:sz w:val="24"/>
                <w:szCs w:val="24"/>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cs="宋体"/>
                <w:color w:val="000000"/>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r>
    </w:tbl>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p>
    <w:p>
      <w:pPr>
        <w:numPr>
          <w:ilvl w:val="0"/>
          <w:numId w:val="1"/>
        </w:numPr>
        <w:autoSpaceDE w:val="0"/>
        <w:autoSpaceDN w:val="0"/>
        <w:snapToGrid w:val="0"/>
        <w:spacing w:line="590" w:lineRule="atLeast"/>
        <w:ind w:left="0" w:firstLine="624"/>
        <w:rPr>
          <w:rFonts w:hint="eastAsia" w:ascii="Times New Roman" w:hAnsi="Times New Roman" w:eastAsia="方正黑体_GBK" w:cs="Times New Roman"/>
          <w:snapToGrid w:val="0"/>
          <w:kern w:val="0"/>
          <w:sz w:val="32"/>
          <w:szCs w:val="20"/>
          <w:lang w:eastAsia="zh-CN"/>
        </w:rPr>
      </w:pPr>
      <w:r>
        <w:rPr>
          <w:rFonts w:hint="eastAsia" w:ascii="Times New Roman" w:hAnsi="Times New Roman" w:eastAsia="方正黑体_GBK" w:cs="Times New Roman"/>
          <w:snapToGrid w:val="0"/>
          <w:kern w:val="0"/>
          <w:sz w:val="32"/>
          <w:szCs w:val="20"/>
          <w:lang w:eastAsia="zh-CN"/>
        </w:rPr>
        <w:t>收到和处理政府信息公开申请情况</w:t>
      </w:r>
    </w:p>
    <w:tbl>
      <w:tblPr>
        <w:tblStyle w:val="8"/>
        <w:tblW w:w="9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6"/>
        <w:gridCol w:w="816"/>
        <w:gridCol w:w="2271"/>
        <w:gridCol w:w="676"/>
        <w:gridCol w:w="827"/>
        <w:gridCol w:w="828"/>
        <w:gridCol w:w="828"/>
        <w:gridCol w:w="828"/>
        <w:gridCol w:w="828"/>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（本列数据的勾稽关系为：第一项加第二项之和，等于第三项加第四项之和）</w:t>
            </w:r>
          </w:p>
        </w:tc>
        <w:tc>
          <w:tcPr>
            <w:tcW w:w="564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676"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自然人</w:t>
            </w:r>
          </w:p>
        </w:tc>
        <w:tc>
          <w:tcPr>
            <w:tcW w:w="4139"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法人或其他组织</w:t>
            </w:r>
          </w:p>
        </w:tc>
        <w:tc>
          <w:tcPr>
            <w:tcW w:w="82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676" w:type="dxa"/>
            <w:vMerge w:val="continue"/>
            <w:tcBorders>
              <w:top w:val="nil"/>
              <w:left w:val="nil"/>
              <w:bottom w:val="single" w:color="auto" w:sz="8" w:space="0"/>
              <w:right w:val="single" w:color="auto" w:sz="8" w:space="0"/>
            </w:tcBorders>
            <w:vAlign w:val="center"/>
          </w:tcPr>
          <w:p/>
        </w:tc>
        <w:tc>
          <w:tcPr>
            <w:tcW w:w="82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商业 企业</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科研 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社会公益组织</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法律服务机构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w:t>
            </w:r>
          </w:p>
        </w:tc>
        <w:tc>
          <w:tcPr>
            <w:tcW w:w="828" w:type="dxa"/>
            <w:vMerge w:val="continue"/>
            <w:tcBorders>
              <w:top w:val="single" w:color="auto" w:sz="8" w:space="0"/>
              <w:left w:val="nil"/>
              <w:bottom w:val="single" w:color="auto" w:sz="8" w:space="0"/>
              <w:right w:val="single" w:color="auto"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一、本年新收政府信息公开申请数量</w:t>
            </w:r>
          </w:p>
        </w:tc>
        <w:tc>
          <w:tcPr>
            <w:tcW w:w="676"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12</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nil"/>
              <w:left w:val="single" w:color="auto" w:sz="8" w:space="0"/>
              <w:bottom w:val="single" w:color="auto" w:sz="4"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二、上年结转政府信息公开申请数量</w:t>
            </w:r>
          </w:p>
        </w:tc>
        <w:tc>
          <w:tcPr>
            <w:tcW w:w="676" w:type="dxa"/>
            <w:tcBorders>
              <w:top w:val="nil"/>
              <w:left w:val="nil"/>
              <w:bottom w:val="single" w:color="auto" w:sz="4"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nil"/>
              <w:left w:val="nil"/>
              <w:bottom w:val="single" w:color="auto" w:sz="4"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三、本年度办理结果</w:t>
            </w: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（一）予以公开</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12</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 w:hRule="atLeast"/>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（二）部分公开（区分处理的，只计这一情形，不计其他情形）</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（三）不予公开</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1.属于国家秘密</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2.其他法律行政法规禁止公开</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3.危及“三安全一稳定”</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4.保护第三方合法权益</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5.属于三类内部事务信息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6.属于四类过程性信息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7.属于行政执法案卷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8.属于行政查询事项</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（四）无法提供</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1.本机关不掌握相关政府信息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2.没有现成信息需要另行制作</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3.补正后申请内容仍不明确</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（五）不予处理</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1.信访举报投诉类申请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2.重复申请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3.要求提供公开出版物</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4.无正当理由大量反复申请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5.要求行政机关确认或重新出具已获取信息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ascii="楷体" w:eastAsia="楷体" w:cs="宋体"/>
                <w:kern w:val="0"/>
                <w:sz w:val="20"/>
                <w:szCs w:val="20"/>
              </w:rPr>
              <w:t>（六）其他处理</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楷体" w:eastAsia="楷体" w:cs="宋体"/>
                <w:kern w:val="0"/>
                <w:sz w:val="20"/>
                <w:szCs w:val="20"/>
                <w:lang w:val="en-US" w:eastAsia="zh-CN"/>
              </w:rPr>
            </w:pPr>
            <w:r>
              <w:rPr>
                <w:rFonts w:hint="eastAsia" w:ascii="楷体" w:eastAsia="楷体" w:cs="宋体"/>
                <w:kern w:val="0"/>
                <w:sz w:val="20"/>
                <w:szCs w:val="20"/>
                <w:lang w:val="en-US" w:eastAsia="zh-CN"/>
              </w:rPr>
              <w:t>1.申请人无正当理由逾期不补正、行政机关不再处理其政府信息公开申请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楷体" w:eastAsia="楷体" w:cs="宋体"/>
                <w:kern w:val="0"/>
                <w:sz w:val="20"/>
                <w:szCs w:val="20"/>
                <w:lang w:val="en-US" w:eastAsia="zh-CN"/>
              </w:rPr>
            </w:pPr>
            <w:r>
              <w:rPr>
                <w:rFonts w:hint="eastAsia" w:ascii="楷体" w:eastAsia="楷体" w:cs="宋体"/>
                <w:kern w:val="0"/>
                <w:sz w:val="20"/>
                <w:szCs w:val="20"/>
                <w:lang w:val="en-US" w:eastAsia="zh-CN"/>
              </w:rPr>
              <w:t>2.申请人逾期未按收费通知要求缴纳费用、行政机关不再处理其政府信息公开申请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楷体" w:eastAsia="楷体" w:cs="宋体"/>
                <w:kern w:val="0"/>
                <w:sz w:val="20"/>
                <w:szCs w:val="20"/>
                <w:lang w:val="en-US" w:eastAsia="zh-CN"/>
              </w:rPr>
            </w:pPr>
            <w:r>
              <w:rPr>
                <w:rFonts w:hint="eastAsia" w:ascii="楷体" w:eastAsia="楷体" w:cs="宋体"/>
                <w:kern w:val="0"/>
                <w:sz w:val="20"/>
                <w:szCs w:val="20"/>
                <w:lang w:val="en-US" w:eastAsia="zh-CN"/>
              </w:rPr>
              <w:t>3.其他</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nil"/>
              <w:left w:val="single" w:color="auto" w:sz="4" w:space="0"/>
              <w:bottom w:val="single" w:color="auto" w:sz="4"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0"/>
                <w:szCs w:val="20"/>
              </w:rPr>
            </w:pPr>
            <w:r>
              <w:rPr>
                <w:rFonts w:hint="eastAsia" w:ascii="Arial" w:hAnsi="Arial" w:cs="Arial"/>
                <w:snapToGrid w:val="0"/>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 w:hRule="atLeast"/>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宋体" w:eastAsia="宋体" w:cs="宋体"/>
                <w:kern w:val="0"/>
                <w:sz w:val="24"/>
                <w:szCs w:val="24"/>
              </w:rPr>
            </w:pPr>
            <w:r>
              <w:rPr>
                <w:rFonts w:hint="eastAsia" w:ascii="楷体" w:eastAsia="楷体" w:cs="宋体"/>
                <w:kern w:val="0"/>
                <w:sz w:val="20"/>
                <w:szCs w:val="20"/>
              </w:rPr>
              <w:t>（七）总计</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12</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single" w:color="auto" w:sz="4" w:space="0"/>
              <w:left w:val="single" w:color="auto" w:sz="4" w:space="0"/>
              <w:bottom w:val="single" w:color="auto" w:sz="4" w:space="0"/>
              <w:right w:val="single" w:color="auto" w:sz="4" w:space="0"/>
            </w:tcBorders>
            <w:tcMar>
              <w:left w:w="108" w:type="dxa"/>
              <w:right w:w="108" w:type="dxa"/>
            </w:tcMar>
          </w:tcPr>
          <w:p>
            <w:pPr>
              <w:widowControl/>
              <w:jc w:val="left"/>
              <w:rPr>
                <w:rFonts w:ascii="宋体" w:eastAsia="宋体" w:cs="宋体"/>
                <w:kern w:val="0"/>
                <w:sz w:val="24"/>
                <w:szCs w:val="24"/>
              </w:rPr>
            </w:pPr>
            <w:r>
              <w:rPr>
                <w:rFonts w:hint="eastAsia" w:ascii="宋体" w:eastAsia="宋体" w:cs="宋体"/>
                <w:kern w:val="0"/>
                <w:sz w:val="20"/>
                <w:szCs w:val="20"/>
              </w:rPr>
              <w:t>四、结转下年度继续办理</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hint="eastAsia" w:ascii="Times New Roman" w:hAnsi="Times New Roman" w:eastAsia="宋体" w:cs="Times New Roman"/>
                <w:kern w:val="0"/>
                <w:sz w:val="24"/>
                <w:szCs w:val="24"/>
                <w:lang w:val="en-US" w:eastAsia="zh-CN"/>
              </w:rPr>
            </w:pPr>
            <w:r>
              <w:rPr>
                <w:rFonts w:hint="eastAsia" w:ascii="Arial" w:hAnsi="Arial" w:cs="Arial"/>
                <w:snapToGrid w:val="0"/>
                <w:color w:val="000000"/>
                <w:kern w:val="0"/>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kinsoku w:val="0"/>
              <w:autoSpaceDE w:val="0"/>
              <w:autoSpaceDN w:val="0"/>
              <w:adjustRightInd w:val="0"/>
              <w:snapToGrid w:val="0"/>
              <w:spacing w:line="240" w:lineRule="auto"/>
              <w:jc w:val="center"/>
              <w:textAlignment w:val="baseline"/>
              <w:rPr>
                <w:rFonts w:ascii="Times New Roman" w:hAnsi="Times New Roman" w:eastAsia="宋体" w:cs="Times New Roman"/>
                <w:kern w:val="0"/>
                <w:sz w:val="24"/>
                <w:szCs w:val="24"/>
              </w:rPr>
            </w:pPr>
            <w:r>
              <w:rPr>
                <w:rFonts w:hint="eastAsia" w:ascii="Arial" w:hAnsi="Arial" w:cs="Arial"/>
                <w:snapToGrid w:val="0"/>
                <w:color w:val="000000"/>
                <w:kern w:val="0"/>
                <w:sz w:val="21"/>
                <w:szCs w:val="21"/>
                <w:lang w:val="en-US" w:eastAsia="zh-CN"/>
              </w:rPr>
              <w:t>0</w:t>
            </w:r>
          </w:p>
        </w:tc>
      </w:tr>
    </w:tbl>
    <w:p>
      <w:pPr>
        <w:rPr>
          <w:rFonts w:ascii="仿宋_GB2312" w:eastAsia="仿宋_GB2312"/>
          <w:sz w:val="32"/>
          <w:szCs w:val="32"/>
        </w:rPr>
      </w:pPr>
    </w:p>
    <w:p>
      <w:pPr>
        <w:ind w:firstLine="640" w:firstLineChars="200"/>
        <w:rPr>
          <w:rFonts w:hint="eastAsia" w:ascii="方正黑体_GBK" w:eastAsia="方正黑体_GBK" w:cs="方正黑体_GBK"/>
          <w:sz w:val="32"/>
          <w:szCs w:val="32"/>
        </w:rPr>
      </w:pPr>
    </w:p>
    <w:p>
      <w:pPr>
        <w:ind w:firstLine="640" w:firstLineChars="200"/>
        <w:rPr>
          <w:rFonts w:hint="eastAsia" w:ascii="方正黑体_GBK" w:eastAsia="方正黑体_GBK" w:cs="方正黑体_GBK"/>
          <w:sz w:val="32"/>
          <w:szCs w:val="32"/>
        </w:rPr>
      </w:pPr>
    </w:p>
    <w:p>
      <w:pPr>
        <w:ind w:firstLine="640" w:firstLineChars="200"/>
        <w:rPr>
          <w:rFonts w:hint="eastAsia" w:ascii="方正黑体_GBK" w:eastAsia="方正黑体_GBK" w:cs="方正黑体_GBK"/>
          <w:sz w:val="32"/>
          <w:szCs w:val="32"/>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lang w:val="en-US" w:eastAsia="zh-CN"/>
        </w:rPr>
        <w:t>四、</w:t>
      </w:r>
      <w:r>
        <w:rPr>
          <w:rFonts w:hint="eastAsia" w:ascii="方正黑体_GBK" w:eastAsia="方正黑体_GBK" w:cs="方正黑体_GBK"/>
          <w:sz w:val="32"/>
          <w:szCs w:val="32"/>
        </w:rPr>
        <w:t>政府信息公开行政复议、行政诉讼情况</w:t>
      </w:r>
    </w:p>
    <w:tbl>
      <w:tblPr>
        <w:tblStyle w:val="8"/>
        <w:tblW w:w="9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5"/>
        <w:gridCol w:w="655"/>
        <w:gridCol w:w="655"/>
        <w:gridCol w:w="655"/>
        <w:gridCol w:w="714"/>
        <w:gridCol w:w="596"/>
        <w:gridCol w:w="656"/>
        <w:gridCol w:w="656"/>
        <w:gridCol w:w="656"/>
        <w:gridCol w:w="657"/>
        <w:gridCol w:w="656"/>
        <w:gridCol w:w="656"/>
        <w:gridCol w:w="656"/>
        <w:gridCol w:w="657"/>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333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行政复议</w:t>
            </w:r>
          </w:p>
        </w:tc>
        <w:tc>
          <w:tcPr>
            <w:tcW w:w="6505"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65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5"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5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71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c>
          <w:tcPr>
            <w:tcW w:w="3221"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未经复议直接起诉</w:t>
            </w:r>
          </w:p>
        </w:tc>
        <w:tc>
          <w:tcPr>
            <w:tcW w:w="3284"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5" w:hRule="atLeast"/>
          <w:jc w:val="center"/>
        </w:trPr>
        <w:tc>
          <w:tcPr>
            <w:tcW w:w="655" w:type="dxa"/>
            <w:vMerge w:val="continue"/>
            <w:tcBorders>
              <w:top w:val="nil"/>
              <w:left w:val="single" w:color="auto" w:sz="8" w:space="0"/>
              <w:bottom w:val="single" w:color="auto" w:sz="8" w:space="0"/>
              <w:right w:val="single" w:color="auto" w:sz="8" w:space="0"/>
            </w:tcBorders>
            <w:vAlign w:val="center"/>
          </w:tcPr>
          <w:p/>
        </w:tc>
        <w:tc>
          <w:tcPr>
            <w:tcW w:w="655" w:type="dxa"/>
            <w:vMerge w:val="continue"/>
            <w:tcBorders>
              <w:top w:val="nil"/>
              <w:left w:val="nil"/>
              <w:bottom w:val="single" w:color="auto" w:sz="8" w:space="0"/>
              <w:right w:val="single" w:color="auto" w:sz="8" w:space="0"/>
            </w:tcBorders>
            <w:vAlign w:val="center"/>
          </w:tcPr>
          <w:p/>
        </w:tc>
        <w:tc>
          <w:tcPr>
            <w:tcW w:w="655" w:type="dxa"/>
            <w:vMerge w:val="continue"/>
            <w:tcBorders>
              <w:top w:val="single" w:color="auto" w:sz="8" w:space="0"/>
              <w:left w:val="nil"/>
              <w:bottom w:val="single" w:color="auto" w:sz="8" w:space="0"/>
              <w:right w:val="single" w:color="auto" w:sz="8" w:space="0"/>
            </w:tcBorders>
            <w:vAlign w:val="center"/>
          </w:tcPr>
          <w:p/>
        </w:tc>
        <w:tc>
          <w:tcPr>
            <w:tcW w:w="655" w:type="dxa"/>
            <w:vMerge w:val="continue"/>
            <w:tcBorders>
              <w:top w:val="single" w:color="auto" w:sz="8" w:space="0"/>
              <w:left w:val="nil"/>
              <w:bottom w:val="single" w:color="auto" w:sz="8" w:space="0"/>
              <w:right w:val="single" w:color="auto" w:sz="8" w:space="0"/>
            </w:tcBorders>
            <w:vAlign w:val="center"/>
          </w:tcPr>
          <w:p/>
        </w:tc>
        <w:tc>
          <w:tcPr>
            <w:tcW w:w="714" w:type="dxa"/>
            <w:vMerge w:val="continue"/>
            <w:tcBorders>
              <w:top w:val="single" w:color="auto" w:sz="8" w:space="0"/>
              <w:left w:val="nil"/>
              <w:bottom w:val="single" w:color="auto" w:sz="8" w:space="0"/>
              <w:right w:val="single" w:color="auto" w:sz="8" w:space="0"/>
            </w:tcBorders>
            <w:vAlign w:val="center"/>
          </w:tcPr>
          <w:p/>
        </w:tc>
        <w:tc>
          <w:tcPr>
            <w:tcW w:w="59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5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其他结果</w:t>
            </w:r>
          </w:p>
        </w:tc>
        <w:tc>
          <w:tcPr>
            <w:tcW w:w="65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59"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Times New Roman" w:hAnsi="Times New Roman" w:eastAsia="宋体" w:cs="Times New Roman"/>
                <w:kern w:val="0"/>
                <w:sz w:val="24"/>
                <w:szCs w:val="24"/>
                <w:lang w:val="en-US" w:eastAsia="zh-CN"/>
              </w:rPr>
            </w:pPr>
            <w:r>
              <w:rPr>
                <w:rFonts w:ascii="Times New Roman" w:hAnsi="Times New Roman" w:eastAsia="宋体" w:cs="Times New Roman"/>
                <w:kern w:val="0"/>
                <w:sz w:val="20"/>
                <w:szCs w:val="20"/>
              </w:rPr>
              <w:t xml:space="preserve">  </w:t>
            </w:r>
            <w:r>
              <w:rPr>
                <w:rFonts w:hint="eastAsia" w:cs="Times New Roman"/>
                <w:kern w:val="0"/>
                <w:sz w:val="20"/>
                <w:szCs w:val="20"/>
                <w:lang w:val="en-US" w:eastAsia="zh-CN"/>
              </w:rPr>
              <w:t>2</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714"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2</w:t>
            </w:r>
          </w:p>
        </w:tc>
        <w:tc>
          <w:tcPr>
            <w:tcW w:w="59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c>
          <w:tcPr>
            <w:tcW w:w="659"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cs="Times New Roman"/>
                <w:kern w:val="0"/>
                <w:sz w:val="24"/>
                <w:szCs w:val="24"/>
                <w:lang w:val="en-US" w:eastAsia="zh-CN"/>
              </w:rPr>
              <w:t>0</w:t>
            </w:r>
          </w:p>
        </w:tc>
      </w:tr>
    </w:tbl>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textAlignment w:val="auto"/>
        <w:rPr>
          <w:rFonts w:ascii="方正黑体_GBK" w:eastAsia="方正黑体_GBK" w:cs="方正黑体_GBK"/>
          <w:sz w:val="32"/>
          <w:szCs w:val="32"/>
        </w:rPr>
      </w:pPr>
      <w:r>
        <w:rPr>
          <w:rFonts w:hint="eastAsia" w:ascii="方正黑体_GBK" w:eastAsia="方正黑体_GBK" w:cs="方正黑体_GBK"/>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（一）存在问题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我镇（区）政府信息公开工作取得一定成效，但还存在一些不足之处：一是部分领域信息公开的标准化、规范化还有待加强；二是政策信息解读的形式还不够丰富；三是政务公开的队伍建设有待加强，专业人员较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是贯彻落实新《条例》，着力提升标准化、规范化。积极推行“互联网+政务”，全链条加强政府信息管理，在集成发布、精准推送、智能查询、管理利用等方面探索创新，运用法治思维和法治方式推进基层政务公开标准化规范化，严格执行政府信息公开条例和有关法律法规，履行政务公开法定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是坚持需求导向，着力增强针对性、实效性。紧贴市场主体和人民群众实际需求，全方位回应公众关切，涉及群众切身利益的事项必须应公开尽公开，增强基层政务公开的针对性、实效性，真正让群众能看到、易获取、用得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eastAsia="黑体"/>
          <w:sz w:val="32"/>
          <w:szCs w:val="32"/>
        </w:rPr>
      </w:pPr>
      <w:r>
        <w:rPr>
          <w:rFonts w:hint="eastAsia" w:ascii="Times New Roman" w:hAnsi="Times New Roman" w:eastAsia="仿宋_GB2312" w:cs="Times New Roman"/>
          <w:kern w:val="2"/>
          <w:sz w:val="32"/>
          <w:szCs w:val="32"/>
          <w:lang w:val="en-US" w:eastAsia="zh-CN" w:bidi="ar-SA"/>
        </w:rPr>
        <w:t>三是加强队伍建设，着力保障法制化、专业化。加大教育培训力度，把政务公开特别是政府信息公开条例纳入基层领导干部和公务员教育培训内容，切实增强依法依规公开意识。组织开展业务培训、经验交流，不断提高基层政务公开工作人员能力和水平。</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六、其他需要报告的事项</w:t>
      </w:r>
    </w:p>
    <w:p>
      <w:pPr>
        <w:autoSpaceDE w:val="0"/>
        <w:autoSpaceDN w:val="0"/>
        <w:snapToGrid w:val="0"/>
        <w:spacing w:line="590" w:lineRule="atLeast"/>
        <w:ind w:firstLine="624"/>
        <w:rPr>
          <w:rFonts w:hint="eastAsia" w:ascii="仿宋" w:eastAsia="仿宋" w:cs="仿宋"/>
          <w:sz w:val="32"/>
          <w:szCs w:val="32"/>
        </w:rPr>
      </w:pPr>
      <w:r>
        <w:rPr>
          <w:rFonts w:hint="eastAsia" w:ascii="Times New Roman" w:hAnsi="Times New Roman" w:eastAsia="仿宋_GB2312" w:cs="Times New Roman"/>
          <w:kern w:val="2"/>
          <w:sz w:val="32"/>
          <w:szCs w:val="32"/>
          <w:lang w:val="en-US" w:eastAsia="zh-CN" w:bidi="ar-SA"/>
        </w:rPr>
        <w:t>本单位未收取因依申请公开办理产生的信息处理费。</w:t>
      </w:r>
    </w:p>
    <w:p>
      <w:pPr>
        <w:widowControl/>
        <w:kinsoku w:val="0"/>
        <w:autoSpaceDE w:val="0"/>
        <w:autoSpaceDN w:val="0"/>
        <w:adjustRightInd w:val="0"/>
        <w:snapToGrid w:val="0"/>
        <w:spacing w:before="1" w:line="216" w:lineRule="auto"/>
        <w:jc w:val="left"/>
        <w:textAlignment w:val="baseline"/>
        <w:rPr>
          <w:rFonts w:ascii="宋体" w:eastAsia="宋体" w:cs="宋体"/>
          <w:snapToGrid w:val="0"/>
          <w:color w:val="000000"/>
          <w:spacing w:val="4"/>
          <w:kern w:val="0"/>
          <w:sz w:val="29"/>
          <w:szCs w:val="29"/>
        </w:rPr>
        <w:sectPr>
          <w:footerReference r:id="rId3" w:type="default"/>
          <w:pgSz w:w="11900" w:h="16840"/>
          <w:pgMar w:top="1431" w:right="1585" w:bottom="1161" w:left="1780" w:header="0" w:footer="875" w:gutter="0"/>
          <w:cols w:space="720" w:num="1"/>
          <w:docGrid w:linePitch="312" w:charSpace="0"/>
        </w:sectPr>
      </w:pPr>
    </w:p>
    <w:p>
      <w:pPr>
        <w:spacing w:line="580" w:lineRule="exact"/>
        <w:rPr>
          <w:rFonts w:hint="eastAsia" w:ascii="仿宋" w:eastAsia="仿宋" w:cs="仿宋"/>
          <w:sz w:val="32"/>
          <w:szCs w:val="32"/>
        </w:rPr>
      </w:pPr>
    </w:p>
    <w:sectPr>
      <w:footerReference r:id="rId6" w:type="first"/>
      <w:footerReference r:id="rId4" w:type="default"/>
      <w:footerReference r:id="rId5" w:type="even"/>
      <w:pgSz w:w="11906" w:h="16838"/>
      <w:pgMar w:top="1701" w:right="1361" w:bottom="1474" w:left="1474" w:header="851" w:footer="121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before="1" w:line="180" w:lineRule="auto"/>
      <w:ind w:right="364"/>
      <w:jc w:val="right"/>
      <w:textAlignment w:val="baseline"/>
      <w:rPr>
        <w:rFonts w:ascii="宋体" w:eastAsia="宋体" w:cs="宋体"/>
        <w:snapToGrid w:val="0"/>
        <w:color w:val="000000"/>
        <w:kern w:val="0"/>
        <w:sz w:val="29"/>
        <w:szCs w:val="29"/>
      </w:rPr>
    </w:pPr>
    <w:r>
      <w:rPr>
        <w:sz w:val="29"/>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2" name="文本框 5"/>
              <wp:cNvGraphicFramePr/>
              <a:graphic xmlns:a="http://schemas.openxmlformats.org/drawingml/2006/main">
                <a:graphicData uri="http://schemas.microsoft.com/office/word/2010/wordprocessingShape">
                  <wps:wsp>
                    <wps:cNvSpPr/>
                    <wps:spPr>
                      <a:xfrm>
                        <a:off x="0" y="0"/>
                        <a:ext cx="114300" cy="131559"/>
                      </a:xfrm>
                      <a:prstGeom prst="rect">
                        <a:avLst/>
                      </a:prstGeom>
                      <a:noFill/>
                      <a:ln w="6350" cap="flat" cmpd="sng">
                        <a:noFill/>
                        <a:prstDash val="solid"/>
                        <a:round/>
                      </a:ln>
                    </wps:spPr>
                    <wps:txbx>
                      <w:txbxContent>
                        <w:p>
                          <w:pPr>
                            <w:pStyle w:val="5"/>
                          </w:pPr>
                          <w:r>
                            <w:fldChar w:fldCharType="begin"/>
                          </w:r>
                          <w:r>
                            <w:instrText xml:space="preserve"> PAGE  \* MERGEFORMAT </w:instrText>
                          </w:r>
                          <w:r>
                            <w:fldChar w:fldCharType="separate"/>
                          </w:r>
                          <w:r>
                            <w:t>16</w:t>
                          </w:r>
                          <w:r>
                            <w:fldChar w:fldCharType="end"/>
                          </w:r>
                        </w:p>
                      </w:txbxContent>
                    </wps:txbx>
                    <wps:bodyPr vert="horz" wrap="none" lIns="0" tIns="0" rIns="0" bIns="0" anchor="t" anchorCtr="0" upright="0">
                      <a:spAutoFit/>
                    </wps:bodyPr>
                  </wps:wsp>
                </a:graphicData>
              </a:graphic>
            </wp:anchor>
          </w:drawing>
        </mc:Choice>
        <mc:Fallback>
          <w:pict>
            <v:rect id="文本框 5"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XRSXJ1QAAAAMBAAAPAAAAAAAAAAEAIAAAACIAAABkcnMvZG93&#10;bnJldi54bWxQSwECFAAUAAAACACHTuJAeHAsDgMCAAD1AwAADgAAAAAAAAABACAAAAAkAQAAZHJz&#10;L2Uyb0RvYy54bWxQSwUGAAAAAAYABgBZAQAAmQUAAAAA&#10;">
              <v:fill on="f" focussize="0,0"/>
              <v:stroke on="f" weight="0.5pt"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Times New Roman" w:hAnsi="Times New Roman" w:eastAsia="宋体" w:cs="Times New Roman"/>
        <w:sz w:val="32"/>
        <w:szCs w:val="32"/>
      </w:rPr>
    </w:pPr>
    <w:r>
      <w:rPr>
        <w:sz w:val="32"/>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15" name="文本框 10"/>
              <wp:cNvGraphicFramePr/>
              <a:graphic xmlns:a="http://schemas.openxmlformats.org/drawingml/2006/main">
                <a:graphicData uri="http://schemas.microsoft.com/office/word/2010/wordprocessingShape">
                  <wps:wsp>
                    <wps:cNvSpPr/>
                    <wps:spPr>
                      <a:xfrm>
                        <a:off x="0" y="0"/>
                        <a:ext cx="114300" cy="131559"/>
                      </a:xfrm>
                      <a:prstGeom prst="rect">
                        <a:avLst/>
                      </a:prstGeom>
                      <a:noFill/>
                      <a:ln w="6350" cap="flat" cmpd="sng">
                        <a:noFill/>
                        <a:prstDash val="solid"/>
                        <a:round/>
                      </a:ln>
                    </wps:spPr>
                    <wps:txbx>
                      <w:txbxContent>
                        <w:p>
                          <w:pPr>
                            <w:pStyle w:val="5"/>
                          </w:pPr>
                          <w:r>
                            <w:fldChar w:fldCharType="begin"/>
                          </w:r>
                          <w:r>
                            <w:instrText xml:space="preserve"> PAGE  \* MERGEFORMAT </w:instrText>
                          </w:r>
                          <w:r>
                            <w:fldChar w:fldCharType="separate"/>
                          </w:r>
                          <w:r>
                            <w:t>22</w:t>
                          </w:r>
                          <w:r>
                            <w:fldChar w:fldCharType="end"/>
                          </w:r>
                        </w:p>
                      </w:txbxContent>
                    </wps:txbx>
                    <wps:bodyPr vert="horz" wrap="none" lIns="0" tIns="0" rIns="0" bIns="0" anchor="t" anchorCtr="0" upright="0">
                      <a:spAutoFit/>
                    </wps:bodyPr>
                  </wps:wsp>
                </a:graphicData>
              </a:graphic>
            </wp:anchor>
          </w:drawing>
        </mc:Choice>
        <mc:Fallback>
          <w:pict>
            <v:rect id="文本框 10"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FJcnVAAAAAwEAAA8AAAAAAAAAAQAgAAAAIgAAAGRycy9kb3du&#10;cmV2LnhtbFBLAQIUABQAAAAIAIdO4kAw3yobAgIAAPYDAAAOAAAAAAAAAAEAIAAAACQBAABkcnMv&#10;ZTJvRG9jLnhtbFBLBQYAAAAABgAGAFkBAACYBQAAAAA=&#10;">
              <v:fill on="f" focussize="0,0"/>
              <v:stroke on="f" weight="0.5pt"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rect>
          </w:pict>
        </mc:Fallback>
      </mc:AlternateContent>
    </w:r>
    <w:r>
      <w:rPr>
        <w:sz w:val="32"/>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9525" cy="131445"/>
              <wp:effectExtent l="0" t="0" r="0" b="0"/>
              <wp:wrapNone/>
              <wp:docPr id="18" name="文本框 6"/>
              <wp:cNvGraphicFramePr/>
              <a:graphic xmlns:a="http://schemas.openxmlformats.org/drawingml/2006/main">
                <a:graphicData uri="http://schemas.microsoft.com/office/word/2010/wordprocessingShape">
                  <wps:wsp>
                    <wps:cNvSpPr/>
                    <wps:spPr>
                      <a:xfrm>
                        <a:off x="0" y="0"/>
                        <a:ext cx="9524" cy="131559"/>
                      </a:xfrm>
                      <a:prstGeom prst="rect">
                        <a:avLst/>
                      </a:prstGeom>
                      <a:noFill/>
                      <a:ln w="6350" cap="flat" cmpd="sng">
                        <a:noFill/>
                        <a:prstDash val="solid"/>
                        <a:round/>
                      </a:ln>
                    </wps:spPr>
                    <wps:txbx>
                      <w:txbxContent>
                        <w:p>
                          <w:pPr>
                            <w:pStyle w:val="5"/>
                            <w:jc w:val="center"/>
                            <w:rPr>
                              <w:rFonts w:eastAsia="宋体"/>
                              <w:lang w:val="en-US" w:eastAsia="zh-CN"/>
                            </w:rPr>
                          </w:pP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0.35pt;width:0.75pt;mso-position-horizontal:center;mso-position-horizontal-relative:margin;mso-wrap-style:none;z-index:251659264;mso-width-relative:page;mso-height-relative:page;" filled="f" stroked="f" coordsize="21600,21600" o:gfxdata="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DHp8dYAAAACAQAADwAAAAAAAAABACAAAAAiAAAAZHJzL2Rv&#10;d25yZXYueG1sUEsBAhQAFAAAAAgAh07iQOKiWUcDAgAA8wMAAA4AAAAAAAAAAQAgAAAAJQEAAGRy&#10;cy9lMm9Eb2MueG1sUEsFBgAAAAAGAAYAWQEAAJoFAAAAAA==&#10;">
              <v:fill on="f" focussize="0,0"/>
              <v:stroke on="f" weight="0.5pt" joinstyle="round"/>
              <v:imagedata o:title=""/>
              <o:lock v:ext="edit" aspectratio="f"/>
              <v:textbox inset="0mm,0mm,0mm,0mm" style="mso-fit-shape-to-text:t;">
                <w:txbxContent>
                  <w:p>
                    <w:pPr>
                      <w:pStyle w:val="5"/>
                      <w:jc w:val="center"/>
                      <w:rPr>
                        <w:rFonts w:eastAsia="宋体"/>
                        <w:lang w:val="en-US" w:eastAsia="zh-CN"/>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eastAsia="宋体" w:cs="Times New Roman"/>
      </w:rPr>
    </w:pPr>
    <w:r>
      <w:rPr>
        <w:rStyle w:val="11"/>
        <w:rFonts w:ascii="Times New Roman" w:hAnsi="Times New Roman" w:eastAsia="宋体" w:cs="Times New Roman"/>
      </w:rPr>
      <w:fldChar w:fldCharType="begin"/>
    </w:r>
    <w:r>
      <w:rPr>
        <w:rStyle w:val="11"/>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11"/>
        <w:rFonts w:ascii="Times New Roman" w:hAnsi="Times New Roman" w:eastAsia="宋体" w:cs="Times New Roman"/>
      </w:rPr>
      <w:t>27</w:t>
    </w:r>
    <w:r>
      <w:rPr>
        <w:rFonts w:ascii="Times New Roman" w:hAnsi="Times New Roman" w:eastAsia="宋体" w:cs="Times New Roman"/>
      </w:rPr>
      <w:fldChar w:fldCharType="end"/>
    </w:r>
  </w:p>
  <w:p>
    <w:pPr>
      <w:pStyle w:val="5"/>
      <w:rPr>
        <w:rFonts w:ascii="Times New Roman" w:hAnsi="Times New Roman" w:eastAsia="宋体"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14300" cy="131445"/>
              <wp:effectExtent l="0" t="0" r="0" b="0"/>
              <wp:wrapNone/>
              <wp:docPr id="21" name="文本框 7"/>
              <wp:cNvGraphicFramePr/>
              <a:graphic xmlns:a="http://schemas.openxmlformats.org/drawingml/2006/main">
                <a:graphicData uri="http://schemas.microsoft.com/office/word/2010/wordprocessingShape">
                  <wps:wsp>
                    <wps:cNvSpPr/>
                    <wps:spPr>
                      <a:xfrm>
                        <a:off x="0" y="0"/>
                        <a:ext cx="114300" cy="131559"/>
                      </a:xfrm>
                      <a:prstGeom prst="rect">
                        <a:avLst/>
                      </a:prstGeom>
                      <a:noFill/>
                      <a:ln w="6350" cap="flat" cmpd="sng">
                        <a:noFill/>
                        <a:prstDash val="solid"/>
                        <a:round/>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7" o:spid="_x0000_s1026" o:spt="1" style="position:absolute;left:0pt;margin-top:0pt;height:10.35pt;width:9pt;mso-position-horizontal:center;mso-position-horizontal-relative:margin;mso-wrap-style:none;z-index:251659264;mso-width-relative:page;mso-height-relative:page;" filled="f" stroked="f" coordsize="21600,21600" o:gfxdata="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0UlydUAAAADAQAADwAAAAAAAAABACAAAAAiAAAAZHJzL2Rv&#10;d25yZXYueG1sUEsBAhQAFAAAAAgAh07iQDmtRMsEAgAA9QMAAA4AAAAAAAAAAQAgAAAAJAEAAGRy&#10;cy9lMm9Eb2MueG1sUEsFBgAAAAAGAAYAWQEAAJoFAAAAAA==&#10;">
              <v:fill on="f" focussize="0,0"/>
              <v:stroke on="f" weight="0.5pt" joinstyle="round"/>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627E8"/>
    <w:multiLevelType w:val="singleLevel"/>
    <w:tmpl w:val="FF8627E8"/>
    <w:lvl w:ilvl="0" w:tentative="0">
      <w:start w:val="2"/>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zRkMDM1YTQxOWM0YmUyNTgwZmUwZTJmMWQ5YmE4NjgifQ=="/>
  </w:docVars>
  <w:rsids>
    <w:rsidRoot w:val="00000000"/>
    <w:rsid w:val="0FE63883"/>
    <w:rsid w:val="1F884DA0"/>
    <w:rsid w:val="23643446"/>
    <w:rsid w:val="44BE5BB8"/>
    <w:rsid w:val="537802A3"/>
    <w:rsid w:val="5D6B3030"/>
    <w:rsid w:val="7A8B46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character" w:styleId="10">
    <w:name w:val="Strong"/>
    <w:basedOn w:val="9"/>
    <w:qFormat/>
    <w:uiPriority w:val="0"/>
    <w:rPr>
      <w:b/>
    </w:rPr>
  </w:style>
  <w:style w:type="character" w:styleId="11">
    <w:name w:val="page number"/>
    <w:qFormat/>
    <w:uiPriority w:val="0"/>
  </w:style>
  <w:style w:type="character" w:styleId="12">
    <w:name w:val="Hyperlink"/>
    <w:basedOn w:val="9"/>
    <w:qFormat/>
    <w:uiPriority w:val="0"/>
    <w:rPr>
      <w:color w:val="0000FF"/>
      <w:u w:val="single"/>
    </w:rPr>
  </w:style>
  <w:style w:type="paragraph" w:customStyle="1" w:styleId="13">
    <w:name w:val="报文标题"/>
    <w:basedOn w:val="1"/>
    <w:qFormat/>
    <w:uiPriority w:val="0"/>
    <w:pPr>
      <w:autoSpaceDE w:val="0"/>
      <w:autoSpaceDN w:val="0"/>
      <w:snapToGrid w:val="0"/>
      <w:spacing w:line="590" w:lineRule="atLeast"/>
      <w:ind w:firstLine="646"/>
      <w:jc w:val="center"/>
    </w:pPr>
    <w:rPr>
      <w:rFonts w:ascii="方正小标宋_GBK" w:eastAsia="方正小标宋_GBK"/>
      <w:snapToGrid w:val="0"/>
      <w:kern w:val="0"/>
      <w:sz w:val="44"/>
      <w:szCs w:val="20"/>
    </w:rPr>
  </w:style>
  <w:style w:type="paragraph" w:customStyle="1" w:styleId="14">
    <w:name w:val="标题1"/>
    <w:basedOn w:val="1"/>
    <w:next w:val="1"/>
    <w:qFormat/>
    <w:uiPriority w:val="0"/>
    <w:pPr>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2579</Words>
  <Characters>2650</Characters>
  <Lines>1194</Lines>
  <Paragraphs>352</Paragraphs>
  <TotalTime>63</TotalTime>
  <ScaleCrop>false</ScaleCrop>
  <LinksUpToDate>false</LinksUpToDate>
  <CharactersWithSpaces>2655</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2023-01-10T08:25:00Z</dcterms:created>
  <dc:creator>归去凤池夸</dc:creator>
  <cp:lastModifiedBy>Jessica</cp:lastModifiedBy>
  <dcterms:modified xsi:type="dcterms:W3CDTF">2023-01-17T02:41:45Z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4AD934E84D124965B9FCA3B4C3E1FFAD</vt:lpwstr>
  </property>
</Properties>
</file>