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可供租赁车辆清单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91"/>
        <w:gridCol w:w="1344"/>
        <w:gridCol w:w="1881"/>
        <w:gridCol w:w="1058"/>
        <w:gridCol w:w="2255"/>
        <w:gridCol w:w="1126"/>
        <w:gridCol w:w="1696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车牌号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车辆类型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品牌型号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核定载人数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车辆识别代码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发动机号码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注册时间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使用年限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eastAsia="方正仿宋_GBK" w:cs="Times New Roman Regular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5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4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cs="Times New Roman Regular"/>
          <w:b/>
          <w:bCs/>
          <w:sz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/>
          <w:bCs/>
          <w:sz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cs="Times New Roman Regular"/>
          <w:b w:val="0"/>
          <w:bCs w:val="0"/>
          <w:sz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  <w:t>1.车牌号、车辆类型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  <w:t>核定载人数、车辆识别代码、发动机号码、注册时间等信息请严格按照《中华人民共和国机动车行驶证》上信息如何登记；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  <w:t>2.使用年限计算方式：从注册日期起至2022年3月31日止，计算该车辆已使用年限，格式：××年；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  <w:t>3.排量信息请按车辆产权登记证书“注册登记机动车信息栏”“14.排量/功率”中的“××××ml”信息登记。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Times New Roman Regular" w:hAnsi="Times New Roman Regular" w:cs="Times New Roman Regular"/>
          <w:b w:val="0"/>
          <w:bCs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555D3115D2014E89822AB4CF06B1220F</vt:lpwstr>
  </property>
</Properties>
</file>