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6"/>
        <w:spacing w:line="580" w:lineRule="exact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</w:rPr>
        <w:t>附件4</w:t>
      </w:r>
    </w:p>
    <w:p>
      <w:pPr>
        <w:pStyle w:val="6"/>
        <w:keepNext w:val="0"/>
        <w:keepLines w:val="0"/>
        <w:pageBreakBefore w:val="0"/>
        <w:widowControl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100" w:afterAutospacing="0" w:line="580" w:lineRule="exact"/>
        <w:ind w:left="0" w:right="0" w:firstLine="0"/>
        <w:jc w:val="center"/>
        <w:outlineLvl w:val="9"/>
        <w:rPr>
          <w:rFonts w:hint="default" w:ascii="Times New Roman" w:hAnsi="Times New Roman" w:eastAsia="方正小标宋_GBK" w:cs="Times New Roman"/>
          <w:b w:val="0"/>
          <w:bCs w:val="0"/>
          <w:caps w:val="0"/>
          <w:color w:val="auto"/>
          <w:sz w:val="44"/>
          <w:szCs w:val="44"/>
          <w:vertAlign w:val="baseline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100" w:afterAutospacing="0" w:line="580" w:lineRule="exact"/>
        <w:ind w:left="0" w:right="0" w:firstLine="0"/>
        <w:jc w:val="center"/>
        <w:outlineLvl w:val="9"/>
        <w:rPr>
          <w:rFonts w:hint="default" w:ascii="Times New Roman" w:hAnsi="Times New Roman" w:eastAsia="方正小标宋_GBK" w:cs="Times New Roman"/>
          <w:b w:val="0"/>
          <w:bCs w:val="0"/>
          <w:caps w:val="0"/>
          <w:color w:val="auto"/>
          <w:sz w:val="44"/>
          <w:szCs w:val="44"/>
          <w:vertAlign w:val="baseline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/>
        </w:rPr>
        <w:t xml:space="preserve"> </w:t>
      </w: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aps w:val="0"/>
          <w:color w:val="auto"/>
          <w:sz w:val="44"/>
          <w:szCs w:val="44"/>
          <w:vertAlign w:val="baseline"/>
        </w:rPr>
        <w:t>“医保便民药店”</w:t>
      </w:r>
      <w:r>
        <w:rPr>
          <w:rFonts w:hint="eastAsia" w:ascii="Times New Roman" w:hAnsi="方正小标宋_GBK" w:eastAsia="方正小标宋_GBK" w:cs="方正小标宋_GBK"/>
          <w:b w:val="0"/>
          <w:bCs w:val="0"/>
          <w:color w:val="auto"/>
          <w:sz w:val="44"/>
          <w:szCs w:val="44"/>
          <w:lang w:val="en-US"/>
        </w:rPr>
        <w:t>日常管理制度</w:t>
      </w:r>
    </w:p>
    <w:bookmarkEnd w:id="0"/>
    <w:p>
      <w:pPr>
        <w:pStyle w:val="12"/>
        <w:keepNext w:val="0"/>
        <w:keepLines w:val="0"/>
        <w:pageBreakBefore w:val="0"/>
        <w:widowControl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center"/>
        <w:textAlignment w:val="bottom"/>
        <w:outlineLvl w:val="9"/>
        <w:rPr>
          <w:rFonts w:hint="default" w:ascii="Times New Roman" w:hAnsi="Times New Roman" w:eastAsia="方正楷体_GBK" w:cs="Times New Roman"/>
          <w:caps w:val="0"/>
          <w:color w:val="auto"/>
          <w:sz w:val="32"/>
          <w:szCs w:val="32"/>
          <w:vertAlign w:val="baseline"/>
        </w:rPr>
      </w:pPr>
      <w:r>
        <w:rPr>
          <w:rFonts w:hint="eastAsia" w:ascii="Times New Roman" w:hAnsi="方正楷体_GBK" w:eastAsia="方正楷体_GBK" w:cs="方正楷体_GBK"/>
          <w:color w:val="auto"/>
          <w:sz w:val="32"/>
          <w:szCs w:val="32"/>
          <w:lang w:val="en-US"/>
        </w:rPr>
        <w:t>（试行）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outlineLvl w:val="9"/>
        <w:rPr>
          <w:rFonts w:hint="default" w:ascii="Times New Roman" w:hAnsi="Times New Roman" w:eastAsia="宋体" w:cs="Times New Roman"/>
          <w:caps w:val="0"/>
          <w:color w:val="auto"/>
          <w:sz w:val="21"/>
          <w:szCs w:val="21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outlineLvl w:val="9"/>
        <w:rPr>
          <w:rFonts w:hint="eastAsia" w:ascii="方正仿宋_GBK" w:hAnsi="方正仿宋_GBK" w:eastAsia="方正仿宋_GBK" w:cs="方正仿宋_GBK"/>
          <w:caps w:val="0"/>
          <w:color w:val="auto"/>
          <w:sz w:val="32"/>
          <w:szCs w:val="32"/>
          <w:vertAlign w:val="baseline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"/>
        </w:rPr>
        <w:t>根据江苏省医疗保障局“医保便民药店”相关工作要求，为全面做好集采药品、国谈药品各项日常管理服务工作，现制定如下管理制度：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outlineLvl w:val="9"/>
        <w:rPr>
          <w:rFonts w:hint="eastAsia" w:ascii="方正仿宋_GBK" w:hAnsi="方正仿宋_GBK" w:eastAsia="方正仿宋_GBK" w:cs="方正仿宋_GBK"/>
          <w:caps w:val="0"/>
          <w:color w:val="auto"/>
          <w:sz w:val="32"/>
          <w:szCs w:val="32"/>
          <w:vertAlign w:val="baseline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"/>
        </w:rPr>
        <w:t>一、坚持遵循公平、合法和诚实守信的原则，“零差率”销售通过医保招采平台采购的医保集采药品及国谈药品，并主动向社会公示集采中选药品的购进价格和销售价格信息。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outlineLvl w:val="9"/>
        <w:rPr>
          <w:rFonts w:hint="eastAsia" w:ascii="方正仿宋_GBK" w:hAnsi="方正仿宋_GBK" w:eastAsia="方正仿宋_GBK" w:cs="方正仿宋_GBK"/>
          <w:caps w:val="0"/>
          <w:color w:val="auto"/>
          <w:sz w:val="32"/>
          <w:szCs w:val="32"/>
          <w:vertAlign w:val="baseline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"/>
        </w:rPr>
        <w:t>二、对医保集采药品、国谈药品进销存实行全程信息化管理，并在药品进销存系统中做单独标记，严格按照国家医保局智能监管系统定点医药机构接口规范，准确、完整上传医保集采药品、国谈药品药品进销存信息，纳入全省统一的医保基金智能监管系统接受统一监督管理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outlineLvl w:val="9"/>
        <w:rPr>
          <w:rFonts w:hint="eastAsia" w:ascii="方正仿宋_GBK" w:hAnsi="方正仿宋_GBK" w:eastAsia="方正仿宋_GBK" w:cs="方正仿宋_GBK"/>
          <w:caps w:val="0"/>
          <w:color w:val="auto"/>
          <w:sz w:val="32"/>
          <w:szCs w:val="32"/>
          <w:vertAlign w:val="baseline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"/>
        </w:rPr>
        <w:t>三、应于明显位置悬挂“医保集采药品、国谈药品销售专柜”标志标识，做到集采药品、国谈药品专区专柜存放，药品购进记录、销售记录等相关资料、数据、票据必须相互吻合，</w:t>
      </w:r>
      <w:r>
        <w:rPr>
          <w:rFonts w:hint="eastAsia" w:ascii="方正仿宋_GBK" w:hAnsi="方正仿宋_GBK" w:eastAsia="方正仿宋_GBK" w:cs="方正仿宋_GBK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单独建账立档、处方分类装订保存，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"/>
        </w:rPr>
        <w:t>保证数据真实、及时、准确、清晰、完整。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outlineLvl w:val="9"/>
        <w:rPr>
          <w:rFonts w:hint="eastAsia" w:ascii="方正仿宋_GBK" w:hAnsi="方正仿宋_GBK" w:eastAsia="方正仿宋_GBK" w:cs="方正仿宋_GBK"/>
          <w:caps w:val="0"/>
          <w:color w:val="auto"/>
          <w:sz w:val="32"/>
          <w:szCs w:val="32"/>
          <w:vertAlign w:val="baseline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"/>
        </w:rPr>
        <w:t>四、认真核对患者有效身份凭证，做到人证相符。严格按照《处方管理办法》等相关规定，合理控制购药人的单次购药量；对用量较大的集采药品、国谈药品，应采用拆剪零售包装或在零售包装上用不易擦拭笔迹标明用法、用量等措施，避免集采药品、国谈药品出现串换、倒卖等问题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outlineLvl w:val="9"/>
        <w:rPr>
          <w:rFonts w:hint="eastAsia" w:ascii="方正仿宋_GBK" w:hAnsi="方正仿宋_GBK" w:eastAsia="方正仿宋_GBK" w:cs="方正仿宋_GBK"/>
          <w:caps w:val="0"/>
          <w:color w:val="auto"/>
          <w:sz w:val="32"/>
          <w:szCs w:val="32"/>
          <w:vertAlign w:val="baseline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"/>
        </w:rPr>
        <w:t>五、委托他人代购药品的，应核验委托人和受托人身份凭证，并做好相应购药登记记录，记录应包括但不限于委托人和受托人身份信息、联系方式等。同一购药人短期内反复购买同一集采药品、国谈药品的，应在记录中注明理由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outlineLvl w:val="9"/>
        <w:rPr>
          <w:rFonts w:hint="eastAsia" w:ascii="方正仿宋_GBK" w:hAnsi="方正仿宋_GBK" w:eastAsia="方正仿宋_GBK" w:cs="方正仿宋_GBK"/>
          <w:caps w:val="0"/>
          <w:color w:val="auto"/>
          <w:sz w:val="32"/>
          <w:szCs w:val="32"/>
          <w:vertAlign w:val="baseline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"/>
        </w:rPr>
        <w:t>六、应定期组织开展集采药品、国谈药品政策培训宣传，加强对从业人员业务管理和对参保群众宣传解读，确保从业人员熟练合规提供服务，基层群众及时了解掌握医保惠民政策。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outlineLvl w:val="9"/>
        <w:rPr>
          <w:rFonts w:hint="eastAsia" w:ascii="方正仿宋_GBK" w:hAnsi="方正仿宋_GBK" w:eastAsia="方正仿宋_GBK" w:cs="方正仿宋_GBK"/>
          <w:caps w:val="0"/>
          <w:color w:val="auto"/>
          <w:sz w:val="32"/>
          <w:szCs w:val="32"/>
          <w:vertAlign w:val="baseline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"/>
        </w:rPr>
        <w:t xml:space="preserve">七、严格做好集采药品、国谈药品管理工作，发现他人倒卖集中采购药品、国谈药品的，应及时向医疗保障部门和市场监管部门反映。 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outlineLvl w:val="9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"/>
        </w:rPr>
        <w:t>八、如违反医保定点零售药店服务协议及“医保便民药店”专项医保协议相关约定、日常管理制度、《医疗保障基金使用监督管理条例》等制度规范，应承担违约责任并接受医疗保障部门作出的处理处罚决定。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outlineLvl w:val="9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outlineLvl w:val="9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outlineLvl w:val="9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right="840" w:rightChars="40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right="840" w:rightChars="40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8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814" w:right="1531" w:bottom="1984" w:left="1531" w:header="720" w:footer="147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height:144pt;width:144pt;mso-position-horizontal:center;mso-position-horizontal-relative:margin;mso-position-vertical:top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05D"/>
    <w:rsid w:val="00020086"/>
    <w:rsid w:val="00057CE4"/>
    <w:rsid w:val="00066532"/>
    <w:rsid w:val="000829C6"/>
    <w:rsid w:val="000831BA"/>
    <w:rsid w:val="000C28AA"/>
    <w:rsid w:val="00127372"/>
    <w:rsid w:val="0014564F"/>
    <w:rsid w:val="00147FEB"/>
    <w:rsid w:val="00162DC9"/>
    <w:rsid w:val="00172A27"/>
    <w:rsid w:val="00174DB9"/>
    <w:rsid w:val="00177EF8"/>
    <w:rsid w:val="00186F37"/>
    <w:rsid w:val="001A6996"/>
    <w:rsid w:val="001C34E4"/>
    <w:rsid w:val="00211AD5"/>
    <w:rsid w:val="00234192"/>
    <w:rsid w:val="0026612E"/>
    <w:rsid w:val="00285C6D"/>
    <w:rsid w:val="002867C5"/>
    <w:rsid w:val="002B1F76"/>
    <w:rsid w:val="002D486E"/>
    <w:rsid w:val="002F1467"/>
    <w:rsid w:val="00320FBD"/>
    <w:rsid w:val="00336C36"/>
    <w:rsid w:val="0036056C"/>
    <w:rsid w:val="00361990"/>
    <w:rsid w:val="003955A0"/>
    <w:rsid w:val="003A081C"/>
    <w:rsid w:val="003B58BA"/>
    <w:rsid w:val="003C01CB"/>
    <w:rsid w:val="003C3C04"/>
    <w:rsid w:val="003F189A"/>
    <w:rsid w:val="003F5FDC"/>
    <w:rsid w:val="0040164E"/>
    <w:rsid w:val="004058FD"/>
    <w:rsid w:val="00411C7D"/>
    <w:rsid w:val="00417354"/>
    <w:rsid w:val="00445C8B"/>
    <w:rsid w:val="0045436A"/>
    <w:rsid w:val="004760C0"/>
    <w:rsid w:val="0048041E"/>
    <w:rsid w:val="004B45DB"/>
    <w:rsid w:val="004C316B"/>
    <w:rsid w:val="00513F00"/>
    <w:rsid w:val="00580CB9"/>
    <w:rsid w:val="005873B7"/>
    <w:rsid w:val="00593C1E"/>
    <w:rsid w:val="005A3E0C"/>
    <w:rsid w:val="005B3C62"/>
    <w:rsid w:val="005B5A8E"/>
    <w:rsid w:val="005C4211"/>
    <w:rsid w:val="005F51E0"/>
    <w:rsid w:val="00616A64"/>
    <w:rsid w:val="00617723"/>
    <w:rsid w:val="006659DE"/>
    <w:rsid w:val="006933CC"/>
    <w:rsid w:val="006B47DD"/>
    <w:rsid w:val="006C0DDA"/>
    <w:rsid w:val="006C53CD"/>
    <w:rsid w:val="006C5870"/>
    <w:rsid w:val="006C7F78"/>
    <w:rsid w:val="006D37A0"/>
    <w:rsid w:val="006D40A0"/>
    <w:rsid w:val="00721702"/>
    <w:rsid w:val="00721999"/>
    <w:rsid w:val="00745AAE"/>
    <w:rsid w:val="0076082D"/>
    <w:rsid w:val="007737B5"/>
    <w:rsid w:val="007837EC"/>
    <w:rsid w:val="007850CC"/>
    <w:rsid w:val="007C0372"/>
    <w:rsid w:val="007E1132"/>
    <w:rsid w:val="00830FCB"/>
    <w:rsid w:val="008324B8"/>
    <w:rsid w:val="00854BF4"/>
    <w:rsid w:val="008714E7"/>
    <w:rsid w:val="008A4CA7"/>
    <w:rsid w:val="008E1691"/>
    <w:rsid w:val="008F16C5"/>
    <w:rsid w:val="008F3C81"/>
    <w:rsid w:val="008F7894"/>
    <w:rsid w:val="0090671F"/>
    <w:rsid w:val="009069BA"/>
    <w:rsid w:val="009334BD"/>
    <w:rsid w:val="0097192A"/>
    <w:rsid w:val="00983FFB"/>
    <w:rsid w:val="009F153F"/>
    <w:rsid w:val="009F794A"/>
    <w:rsid w:val="00A3606E"/>
    <w:rsid w:val="00A45A93"/>
    <w:rsid w:val="00A820DD"/>
    <w:rsid w:val="00A84962"/>
    <w:rsid w:val="00AA0C5C"/>
    <w:rsid w:val="00AD0920"/>
    <w:rsid w:val="00AD12EF"/>
    <w:rsid w:val="00AF444D"/>
    <w:rsid w:val="00B00ACE"/>
    <w:rsid w:val="00B00F88"/>
    <w:rsid w:val="00B30ED7"/>
    <w:rsid w:val="00B422EB"/>
    <w:rsid w:val="00B447E9"/>
    <w:rsid w:val="00B52F95"/>
    <w:rsid w:val="00B83373"/>
    <w:rsid w:val="00BB4C4D"/>
    <w:rsid w:val="00BC5C55"/>
    <w:rsid w:val="00BD0BF3"/>
    <w:rsid w:val="00BD4F89"/>
    <w:rsid w:val="00C05F20"/>
    <w:rsid w:val="00C323E3"/>
    <w:rsid w:val="00C4148D"/>
    <w:rsid w:val="00C42C39"/>
    <w:rsid w:val="00CA3B24"/>
    <w:rsid w:val="00CC079C"/>
    <w:rsid w:val="00CC54A8"/>
    <w:rsid w:val="00CD00F1"/>
    <w:rsid w:val="00CE07A2"/>
    <w:rsid w:val="00D059B8"/>
    <w:rsid w:val="00D0783E"/>
    <w:rsid w:val="00D1510D"/>
    <w:rsid w:val="00D17004"/>
    <w:rsid w:val="00D208D4"/>
    <w:rsid w:val="00D2355F"/>
    <w:rsid w:val="00D31DA5"/>
    <w:rsid w:val="00DE2C1E"/>
    <w:rsid w:val="00DE32B5"/>
    <w:rsid w:val="00DF413D"/>
    <w:rsid w:val="00E23638"/>
    <w:rsid w:val="00E3038B"/>
    <w:rsid w:val="00E519F7"/>
    <w:rsid w:val="00E65CE8"/>
    <w:rsid w:val="00E70B0F"/>
    <w:rsid w:val="00EB38E8"/>
    <w:rsid w:val="00EB7573"/>
    <w:rsid w:val="00ED552E"/>
    <w:rsid w:val="00F01232"/>
    <w:rsid w:val="00F06FEE"/>
    <w:rsid w:val="00F11E44"/>
    <w:rsid w:val="00F17769"/>
    <w:rsid w:val="00F26865"/>
    <w:rsid w:val="00F35513"/>
    <w:rsid w:val="00F75513"/>
    <w:rsid w:val="00F91586"/>
    <w:rsid w:val="00F9567C"/>
    <w:rsid w:val="03300CDA"/>
    <w:rsid w:val="03F34394"/>
    <w:rsid w:val="0621672E"/>
    <w:rsid w:val="08080FA0"/>
    <w:rsid w:val="0ADE3797"/>
    <w:rsid w:val="0E8335E0"/>
    <w:rsid w:val="13B0057F"/>
    <w:rsid w:val="1EDC70F1"/>
    <w:rsid w:val="1FA834FD"/>
    <w:rsid w:val="1FCF398E"/>
    <w:rsid w:val="23A8717A"/>
    <w:rsid w:val="243766CE"/>
    <w:rsid w:val="24DC0AAD"/>
    <w:rsid w:val="30981D8D"/>
    <w:rsid w:val="33BC2F5F"/>
    <w:rsid w:val="34C22E58"/>
    <w:rsid w:val="36DF2DEE"/>
    <w:rsid w:val="3A022FE9"/>
    <w:rsid w:val="3A595F4B"/>
    <w:rsid w:val="3AB527A4"/>
    <w:rsid w:val="3B397698"/>
    <w:rsid w:val="3B862770"/>
    <w:rsid w:val="3E2E4AA9"/>
    <w:rsid w:val="3E6212E9"/>
    <w:rsid w:val="41E8327B"/>
    <w:rsid w:val="43976A59"/>
    <w:rsid w:val="4DE56120"/>
    <w:rsid w:val="4E483616"/>
    <w:rsid w:val="517E1341"/>
    <w:rsid w:val="55D239C7"/>
    <w:rsid w:val="5E4F7A04"/>
    <w:rsid w:val="6095203F"/>
    <w:rsid w:val="60E64AEB"/>
    <w:rsid w:val="68EA7E50"/>
    <w:rsid w:val="6B7C5C4B"/>
    <w:rsid w:val="6B9242B3"/>
    <w:rsid w:val="6FF6114F"/>
    <w:rsid w:val="7B043EB2"/>
    <w:rsid w:val="7C633338"/>
    <w:rsid w:val="7DC8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toc 1"/>
    <w:basedOn w:val="1"/>
    <w:next w:val="1"/>
    <w:unhideWhenUsed/>
    <w:qFormat/>
    <w:uiPriority w:val="39"/>
    <w:pPr>
      <w:widowControl/>
      <w:tabs>
        <w:tab w:val="right" w:leader="dot" w:pos="8778"/>
      </w:tabs>
      <w:spacing w:beforeLines="0" w:after="100" w:line="259" w:lineRule="auto"/>
      <w:jc w:val="left"/>
    </w:pPr>
    <w:rPr>
      <w:rFonts w:ascii="宋体" w:hAnsi="宋体" w:eastAsia="宋体" w:cs="Times New Roman"/>
      <w:b/>
      <w:bCs/>
      <w:kern w:val="0"/>
      <w:sz w:val="28"/>
      <w:szCs w:val="2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p0"/>
    <w:basedOn w:val="1"/>
    <w:qFormat/>
    <w:uiPriority w:val="0"/>
    <w:pPr>
      <w:widowControl/>
      <w:jc w:val="left"/>
    </w:pPr>
    <w:rPr>
      <w:kern w:val="0"/>
      <w:sz w:val="20"/>
      <w:szCs w:val="20"/>
    </w:rPr>
  </w:style>
  <w:style w:type="paragraph" w:customStyle="1" w:styleId="12">
    <w:name w:val="文件格式"/>
    <w:basedOn w:val="1"/>
    <w:qFormat/>
    <w:uiPriority w:val="99"/>
    <w:pPr>
      <w:widowControl/>
      <w:spacing w:beforeLines="0" w:line="460" w:lineRule="atLeast"/>
      <w:ind w:left="1" w:firstLine="419"/>
      <w:textAlignment w:val="bottom"/>
    </w:pPr>
    <w:rPr>
      <w:rFonts w:ascii="Calibri" w:hAnsi="Calibri" w:eastAsia="仿宋_GB2312" w:cs="Times New Roman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186</Words>
  <Characters>1061</Characters>
  <Lines>8</Lines>
  <Paragraphs>2</Paragraphs>
  <TotalTime>30</TotalTime>
  <ScaleCrop>false</ScaleCrop>
  <LinksUpToDate>false</LinksUpToDate>
  <CharactersWithSpaces>1245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2020-06-15T08:58:00Z</dcterms:created>
  <dc:creator>微软用户</dc:creator>
  <cp:lastModifiedBy>NTKO</cp:lastModifiedBy>
  <cp:lastPrinted>2023-06-29T07:20:00Z</cp:lastPrinted>
  <dcterms:modified xsi:type="dcterms:W3CDTF">2023-06-29T07:51:22Z</dcterms:modified>
  <dc:title>关于明确局领导班子成员分工的通知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1977A8F8D26C446E814F94F40BA8C560</vt:lpwstr>
  </property>
</Properties>
</file>