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Times New Roman" w:hAnsi="Times New Roman" w:eastAsia="黑体"/>
          <w:sz w:val="32"/>
          <w:szCs w:val="32"/>
        </w:rPr>
      </w:pPr>
      <w:r>
        <w:rPr>
          <w:rFonts w:ascii="Times New Roman" w:hAnsi="Times New Roman" w:eastAsia="黑体"/>
          <w:sz w:val="32"/>
          <w:szCs w:val="32"/>
        </w:rPr>
        <w:t>附件1</w:t>
      </w:r>
    </w:p>
    <w:p>
      <w:pPr>
        <w:spacing w:line="700" w:lineRule="exact"/>
        <w:jc w:val="center"/>
        <w:rPr>
          <w:rFonts w:ascii="Times New Roman" w:hAnsi="Times New Roman" w:eastAsia="方正小标宋_GBK"/>
          <w:b/>
          <w:sz w:val="44"/>
          <w:szCs w:val="44"/>
        </w:rPr>
      </w:pPr>
      <w:r>
        <w:rPr>
          <w:rFonts w:ascii="Times New Roman" w:hAnsi="Times New Roman" w:eastAsia="方正小标宋_GBK"/>
          <w:b/>
          <w:sz w:val="44"/>
          <w:szCs w:val="44"/>
        </w:rPr>
        <w:t>2022年国、省、市考断面水质目标表</w:t>
      </w:r>
    </w:p>
    <w:tbl>
      <w:tblPr>
        <w:tblStyle w:val="11"/>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702"/>
        <w:gridCol w:w="1215"/>
        <w:gridCol w:w="1902"/>
        <w:gridCol w:w="2220"/>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
                <w:szCs w:val="21"/>
              </w:rPr>
            </w:pPr>
            <w:r>
              <w:rPr>
                <w:rFonts w:ascii="Times New Roman" w:hAnsi="Times New Roman" w:eastAsia="方正仿宋_GBK"/>
                <w:b/>
                <w:szCs w:val="21"/>
              </w:rPr>
              <w:t>序号</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
                <w:szCs w:val="21"/>
              </w:rPr>
            </w:pPr>
            <w:r>
              <w:rPr>
                <w:rFonts w:ascii="Times New Roman" w:hAnsi="Times New Roman" w:eastAsia="方正仿宋_GBK"/>
                <w:b/>
                <w:szCs w:val="21"/>
              </w:rPr>
              <w:t>断面名称</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
                <w:szCs w:val="21"/>
              </w:rPr>
            </w:pPr>
            <w:r>
              <w:rPr>
                <w:rFonts w:ascii="Times New Roman" w:hAnsi="Times New Roman" w:eastAsia="方正仿宋_GBK"/>
                <w:b/>
                <w:szCs w:val="21"/>
              </w:rPr>
              <w:t>考核</w:t>
            </w:r>
          </w:p>
          <w:p>
            <w:pPr>
              <w:adjustRightInd w:val="0"/>
              <w:jc w:val="center"/>
              <w:rPr>
                <w:rFonts w:ascii="Times New Roman" w:hAnsi="Times New Roman" w:eastAsia="方正仿宋_GBK"/>
                <w:b/>
                <w:szCs w:val="21"/>
              </w:rPr>
            </w:pPr>
            <w:r>
              <w:rPr>
                <w:rFonts w:ascii="Times New Roman" w:hAnsi="Times New Roman" w:eastAsia="方正仿宋_GBK"/>
                <w:b/>
                <w:szCs w:val="21"/>
              </w:rPr>
              <w:t>级别</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
                <w:szCs w:val="21"/>
              </w:rPr>
            </w:pPr>
            <w:r>
              <w:rPr>
                <w:rFonts w:ascii="Times New Roman" w:hAnsi="Times New Roman" w:eastAsia="方正仿宋_GBK"/>
                <w:b/>
                <w:szCs w:val="21"/>
              </w:rPr>
              <w:t>所在水体</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
                <w:szCs w:val="21"/>
              </w:rPr>
            </w:pPr>
            <w:r>
              <w:rPr>
                <w:rFonts w:ascii="Times New Roman" w:hAnsi="Times New Roman" w:eastAsia="方正仿宋_GBK"/>
                <w:b/>
                <w:szCs w:val="21"/>
              </w:rPr>
              <w:t>责任镇（区、街道）</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
                <w:szCs w:val="21"/>
              </w:rPr>
            </w:pPr>
            <w:r>
              <w:rPr>
                <w:rFonts w:ascii="Times New Roman" w:hAnsi="Times New Roman" w:eastAsia="方正仿宋_GBK"/>
                <w:b/>
                <w:szCs w:val="21"/>
              </w:rPr>
              <w:t>2022年</w:t>
            </w:r>
          </w:p>
          <w:p>
            <w:pPr>
              <w:adjustRightInd w:val="0"/>
              <w:jc w:val="center"/>
              <w:rPr>
                <w:rFonts w:ascii="Times New Roman" w:hAnsi="Times New Roman" w:eastAsia="方正仿宋_GBK"/>
                <w:b/>
                <w:szCs w:val="21"/>
              </w:rPr>
            </w:pPr>
            <w:r>
              <w:rPr>
                <w:rFonts w:ascii="Times New Roman" w:hAnsi="Times New Roman" w:eastAsia="方正仿宋_GBK"/>
                <w:b/>
                <w:szCs w:val="21"/>
              </w:rPr>
              <w:t>水质目标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北凌新闸</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国考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北凌河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栟茶镇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2</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小洋口</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国考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栟茶运河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洋口镇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3</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环东闸口</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国考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掘苴河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外农开发区</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4</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东安闸桥西</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国考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如泰运河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大豫镇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5</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孙窑大桥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国考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九圩港</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曹埠镇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6</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袁庄水站</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省考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栟茶运河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袁庄镇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7</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曙光电灌站</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省考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如泰运河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双甸镇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8</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小洋口老闸内</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省考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浒洋河、栟茶运河、南凌河、九洋河、长角河交汇处</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洋口镇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9</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张家堡桥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如泰运河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岔河镇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10</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丁棚桥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如泰运河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掘港街道、城中街道</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11</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北环路桥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掘苴河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城中街道</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12</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丰利大桥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马丰河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丰利镇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13</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止马洼大桥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掘坎河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大豫镇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14</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八号桥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洋口运河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外农开发区</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15</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南凌桥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南凌河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河口镇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16</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九洋河桥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九洋河</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新店镇</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17</w:t>
            </w:r>
          </w:p>
        </w:tc>
        <w:tc>
          <w:tcPr>
            <w:tcW w:w="170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洋角桥</w:t>
            </w:r>
          </w:p>
        </w:tc>
        <w:tc>
          <w:tcPr>
            <w:tcW w:w="121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市考</w:t>
            </w:r>
          </w:p>
        </w:tc>
        <w:tc>
          <w:tcPr>
            <w:tcW w:w="1902"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遥望港</w:t>
            </w:r>
          </w:p>
        </w:tc>
        <w:tc>
          <w:tcPr>
            <w:tcW w:w="222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掘港街道</w:t>
            </w:r>
          </w:p>
        </w:tc>
        <w:tc>
          <w:tcPr>
            <w:tcW w:w="1300"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方正仿宋_GBK"/>
                <w:bCs/>
                <w:szCs w:val="21"/>
              </w:rPr>
            </w:pPr>
            <w:r>
              <w:rPr>
                <w:rFonts w:ascii="Times New Roman" w:hAnsi="Times New Roman" w:eastAsia="方正仿宋_GBK"/>
                <w:bCs/>
                <w:szCs w:val="21"/>
              </w:rPr>
              <w:t>Ⅲ类</w:t>
            </w:r>
          </w:p>
        </w:tc>
      </w:tr>
    </w:tbl>
    <w:p>
      <w:pPr>
        <w:spacing w:line="500" w:lineRule="exact"/>
        <w:rPr>
          <w:rFonts w:ascii="Times New Roman" w:hAnsi="Times New Roman"/>
          <w:szCs w:val="21"/>
        </w:rPr>
      </w:pPr>
    </w:p>
    <w:p>
      <w:pPr>
        <w:widowControl/>
        <w:jc w:val="left"/>
        <w:rPr>
          <w:rFonts w:ascii="Times New Roman" w:hAnsi="Times New Roman"/>
          <w:szCs w:val="21"/>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758" w:left="1531" w:header="850" w:footer="1474" w:gutter="0"/>
          <w:pgNumType w:fmt="numberInDash"/>
          <w:cols w:space="425" w:num="1"/>
          <w:docGrid w:linePitch="435" w:charSpace="0"/>
        </w:sectPr>
      </w:pPr>
    </w:p>
    <w:p>
      <w:pPr>
        <w:ind w:firstLine="640"/>
        <w:outlineLvl w:val="0"/>
        <w:rPr>
          <w:rFonts w:ascii="Times New Roman" w:hAnsi="Times New Roman" w:eastAsia="黑体"/>
          <w:sz w:val="32"/>
          <w:szCs w:val="32"/>
        </w:rPr>
      </w:pPr>
      <w:r>
        <w:rPr>
          <w:rFonts w:ascii="Times New Roman" w:hAnsi="Times New Roman" w:eastAsia="黑体"/>
          <w:sz w:val="32"/>
          <w:szCs w:val="32"/>
        </w:rPr>
        <w:t>附件2</w:t>
      </w:r>
    </w:p>
    <w:p>
      <w:pPr>
        <w:spacing w:line="700" w:lineRule="exact"/>
        <w:jc w:val="center"/>
        <w:rPr>
          <w:rFonts w:ascii="Times New Roman" w:hAnsi="Times New Roman" w:eastAsia="方正小标宋_GBK"/>
          <w:b/>
          <w:sz w:val="44"/>
          <w:szCs w:val="44"/>
        </w:rPr>
      </w:pPr>
      <w:r>
        <w:rPr>
          <w:rFonts w:ascii="Times New Roman" w:hAnsi="Times New Roman" w:eastAsia="方正小标宋_GBK"/>
          <w:b/>
          <w:sz w:val="44"/>
          <w:szCs w:val="44"/>
        </w:rPr>
        <w:t>2022年如东县水污染防治重点工程项目表</w:t>
      </w:r>
    </w:p>
    <w:p>
      <w:pPr>
        <w:jc w:val="center"/>
        <w:rPr>
          <w:rFonts w:ascii="Times New Roman" w:hAnsi="Times New Roman" w:eastAsia="方正黑体_GBK"/>
          <w:b/>
          <w:sz w:val="32"/>
          <w:szCs w:val="32"/>
        </w:rPr>
      </w:pPr>
    </w:p>
    <w:p>
      <w:pPr>
        <w:jc w:val="center"/>
        <w:rPr>
          <w:rFonts w:ascii="黑体" w:hAnsi="黑体" w:eastAsia="黑体" w:cs="黑体"/>
          <w:b/>
          <w:sz w:val="32"/>
          <w:szCs w:val="32"/>
        </w:rPr>
      </w:pPr>
      <w:r>
        <w:rPr>
          <w:rFonts w:hint="eastAsia" w:ascii="黑体" w:hAnsi="黑体" w:eastAsia="黑体" w:cs="黑体"/>
          <w:b/>
          <w:sz w:val="32"/>
          <w:szCs w:val="32"/>
        </w:rPr>
        <w:t>表1  2021年结转项目</w:t>
      </w:r>
    </w:p>
    <w:tbl>
      <w:tblPr>
        <w:tblStyle w:val="11"/>
        <w:tblW w:w="13766" w:type="dxa"/>
        <w:jc w:val="center"/>
        <w:tblLayout w:type="fixed"/>
        <w:tblCellMar>
          <w:top w:w="0" w:type="dxa"/>
          <w:left w:w="108" w:type="dxa"/>
          <w:bottom w:w="0" w:type="dxa"/>
          <w:right w:w="108" w:type="dxa"/>
        </w:tblCellMar>
      </w:tblPr>
      <w:tblGrid>
        <w:gridCol w:w="767"/>
        <w:gridCol w:w="1389"/>
        <w:gridCol w:w="1408"/>
        <w:gridCol w:w="1580"/>
        <w:gridCol w:w="1812"/>
        <w:gridCol w:w="958"/>
        <w:gridCol w:w="1228"/>
        <w:gridCol w:w="1164"/>
        <w:gridCol w:w="829"/>
        <w:gridCol w:w="1200"/>
        <w:gridCol w:w="1431"/>
      </w:tblGrid>
      <w:tr>
        <w:tblPrEx>
          <w:tblCellMar>
            <w:top w:w="0" w:type="dxa"/>
            <w:left w:w="108" w:type="dxa"/>
            <w:bottom w:w="0" w:type="dxa"/>
            <w:right w:w="108" w:type="dxa"/>
          </w:tblCellMar>
        </w:tblPrEx>
        <w:trPr>
          <w:trHeight w:val="1141"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序号</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项目类别</w:t>
            </w:r>
          </w:p>
        </w:tc>
        <w:tc>
          <w:tcPr>
            <w:tcW w:w="14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所在镇区</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项目名称</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建设内容、规模</w:t>
            </w: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所属控制单元</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目标水体/断面</w:t>
            </w:r>
          </w:p>
        </w:tc>
        <w:tc>
          <w:tcPr>
            <w:tcW w:w="116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计划总投资(万元）</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项目目前进度</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完成期限</w:t>
            </w: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rPr>
            </w:pPr>
            <w:r>
              <w:rPr>
                <w:rFonts w:ascii="Times New Roman" w:hAnsi="Times New Roman" w:eastAsia="方正仿宋_GBK"/>
                <w:b/>
                <w:color w:val="000000"/>
              </w:rPr>
              <w:t>责任单位</w:t>
            </w:r>
          </w:p>
        </w:tc>
      </w:tr>
      <w:tr>
        <w:tblPrEx>
          <w:tblCellMar>
            <w:top w:w="0" w:type="dxa"/>
            <w:left w:w="108" w:type="dxa"/>
            <w:bottom w:w="0" w:type="dxa"/>
            <w:right w:w="108" w:type="dxa"/>
          </w:tblCellM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rPr>
            </w:pPr>
            <w:r>
              <w:rPr>
                <w:rFonts w:ascii="Times New Roman" w:hAnsi="Times New Roman" w:eastAsia="方正仿宋_GBK"/>
              </w:rPr>
              <w:t>排污口整治</w:t>
            </w:r>
          </w:p>
        </w:tc>
        <w:tc>
          <w:tcPr>
            <w:tcW w:w="14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掘港街道</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rPr>
            </w:pPr>
            <w:r>
              <w:rPr>
                <w:rFonts w:ascii="Times New Roman" w:hAnsi="Times New Roman" w:eastAsia="方正仿宋_GBK"/>
              </w:rPr>
              <w:t>排污口规范化建设</w:t>
            </w:r>
          </w:p>
        </w:tc>
        <w:tc>
          <w:tcPr>
            <w:tcW w:w="18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如东三益鸿生污水处理有限公司排口规范化建设</w:t>
            </w:r>
          </w:p>
        </w:tc>
        <w:tc>
          <w:tcPr>
            <w:tcW w:w="9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如泰运河控制单元</w:t>
            </w:r>
          </w:p>
        </w:tc>
        <w:tc>
          <w:tcPr>
            <w:tcW w:w="122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如泰运河/东安闸桥西</w:t>
            </w:r>
          </w:p>
        </w:tc>
        <w:tc>
          <w:tcPr>
            <w:tcW w:w="11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147.48</w:t>
            </w:r>
          </w:p>
        </w:tc>
        <w:tc>
          <w:tcPr>
            <w:tcW w:w="82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在建</w:t>
            </w:r>
          </w:p>
        </w:tc>
        <w:tc>
          <w:tcPr>
            <w:tcW w:w="12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2023.3</w:t>
            </w:r>
          </w:p>
        </w:tc>
        <w:tc>
          <w:tcPr>
            <w:tcW w:w="14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如东水务集团有限公司</w:t>
            </w:r>
          </w:p>
        </w:tc>
      </w:tr>
      <w:tr>
        <w:tblPrEx>
          <w:tblCellMar>
            <w:top w:w="0" w:type="dxa"/>
            <w:left w:w="108" w:type="dxa"/>
            <w:bottom w:w="0" w:type="dxa"/>
            <w:right w:w="108" w:type="dxa"/>
          </w:tblCellMar>
        </w:tblPrEx>
        <w:trPr>
          <w:trHeight w:val="90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水生态保护修复</w:t>
            </w:r>
          </w:p>
        </w:tc>
        <w:tc>
          <w:tcPr>
            <w:tcW w:w="14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大豫镇</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人工湿地水质净化</w:t>
            </w:r>
          </w:p>
        </w:tc>
        <w:tc>
          <w:tcPr>
            <w:tcW w:w="18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如泰运河入海河口生态湿地项目</w:t>
            </w:r>
          </w:p>
        </w:tc>
        <w:tc>
          <w:tcPr>
            <w:tcW w:w="9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如泰运河控制单元</w:t>
            </w:r>
          </w:p>
        </w:tc>
        <w:tc>
          <w:tcPr>
            <w:tcW w:w="122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如泰运河/东安闸桥西</w:t>
            </w:r>
          </w:p>
        </w:tc>
        <w:tc>
          <w:tcPr>
            <w:tcW w:w="11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1000</w:t>
            </w:r>
          </w:p>
        </w:tc>
        <w:tc>
          <w:tcPr>
            <w:tcW w:w="82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在建</w:t>
            </w:r>
          </w:p>
        </w:tc>
        <w:tc>
          <w:tcPr>
            <w:tcW w:w="12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2022.12</w:t>
            </w:r>
          </w:p>
        </w:tc>
        <w:tc>
          <w:tcPr>
            <w:tcW w:w="14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如东县大豫镇人民政府</w:t>
            </w:r>
          </w:p>
        </w:tc>
      </w:tr>
      <w:tr>
        <w:tblPrEx>
          <w:tblCellMar>
            <w:top w:w="0" w:type="dxa"/>
            <w:left w:w="108" w:type="dxa"/>
            <w:bottom w:w="0" w:type="dxa"/>
            <w:right w:w="108" w:type="dxa"/>
          </w:tblCellM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水生态保护修复</w:t>
            </w:r>
          </w:p>
        </w:tc>
        <w:tc>
          <w:tcPr>
            <w:tcW w:w="14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经济开发区</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人工湿地水质净化</w:t>
            </w:r>
          </w:p>
        </w:tc>
        <w:tc>
          <w:tcPr>
            <w:tcW w:w="18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掘苴河生态湿地，水面积达到23.8ha，陆地面积87ha</w:t>
            </w:r>
          </w:p>
        </w:tc>
        <w:tc>
          <w:tcPr>
            <w:tcW w:w="9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掘苴河控制单元</w:t>
            </w:r>
          </w:p>
        </w:tc>
        <w:tc>
          <w:tcPr>
            <w:tcW w:w="122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掘苴河/环东闸口</w:t>
            </w:r>
          </w:p>
        </w:tc>
        <w:tc>
          <w:tcPr>
            <w:tcW w:w="11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40000</w:t>
            </w:r>
          </w:p>
        </w:tc>
        <w:tc>
          <w:tcPr>
            <w:tcW w:w="82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在建</w:t>
            </w:r>
          </w:p>
        </w:tc>
        <w:tc>
          <w:tcPr>
            <w:tcW w:w="12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2022.12</w:t>
            </w:r>
          </w:p>
        </w:tc>
        <w:tc>
          <w:tcPr>
            <w:tcW w:w="14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如东县住建局、如东水务集团有限公司</w:t>
            </w:r>
          </w:p>
        </w:tc>
      </w:tr>
      <w:tr>
        <w:tblPrEx>
          <w:tblCellMar>
            <w:top w:w="0" w:type="dxa"/>
            <w:left w:w="108" w:type="dxa"/>
            <w:bottom w:w="0" w:type="dxa"/>
            <w:right w:w="108" w:type="dxa"/>
          </w:tblCellMar>
        </w:tblPrEx>
        <w:trPr>
          <w:trHeight w:val="90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rPr>
              <w:t>水资源优化调度</w:t>
            </w:r>
          </w:p>
        </w:tc>
        <w:tc>
          <w:tcPr>
            <w:tcW w:w="14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新店镇、岔河镇、丰利镇、洋口镇</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水系连通工程</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九洋河河道疏浚整治</w:t>
            </w: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如泰运河控制单元</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如泰运河/东安闸桥西</w:t>
            </w:r>
          </w:p>
        </w:tc>
        <w:tc>
          <w:tcPr>
            <w:tcW w:w="11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11276</w:t>
            </w:r>
          </w:p>
        </w:tc>
        <w:tc>
          <w:tcPr>
            <w:tcW w:w="82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在建</w:t>
            </w:r>
          </w:p>
        </w:tc>
        <w:tc>
          <w:tcPr>
            <w:tcW w:w="12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rPr>
            </w:pPr>
            <w:r>
              <w:rPr>
                <w:rFonts w:ascii="Times New Roman" w:hAnsi="Times New Roman" w:eastAsia="方正仿宋_GBK"/>
              </w:rPr>
              <w:t>2022.12</w:t>
            </w: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rPr>
            </w:pPr>
            <w:r>
              <w:rPr>
                <w:rFonts w:ascii="Times New Roman" w:hAnsi="Times New Roman" w:eastAsia="方正仿宋_GBK"/>
                <w:color w:val="000000"/>
              </w:rPr>
              <w:t>如东县水务局</w:t>
            </w:r>
          </w:p>
        </w:tc>
      </w:tr>
    </w:tbl>
    <w:p>
      <w:pPr>
        <w:jc w:val="center"/>
        <w:rPr>
          <w:rFonts w:ascii="黑体" w:hAnsi="黑体" w:eastAsia="黑体" w:cs="黑体"/>
          <w:b/>
          <w:sz w:val="32"/>
          <w:szCs w:val="32"/>
        </w:rPr>
      </w:pPr>
      <w:r>
        <w:rPr>
          <w:rFonts w:ascii="Times New Roman" w:hAnsi="Times New Roman" w:eastAsia="方正仿宋_GBK"/>
          <w:color w:val="000000"/>
          <w:szCs w:val="28"/>
        </w:rPr>
        <w:br w:type="page"/>
      </w:r>
      <w:r>
        <w:rPr>
          <w:rFonts w:hint="eastAsia" w:ascii="黑体" w:hAnsi="黑体" w:eastAsia="黑体" w:cs="黑体"/>
          <w:b/>
          <w:sz w:val="32"/>
          <w:szCs w:val="32"/>
        </w:rPr>
        <w:t>表2  污染减排项目</w:t>
      </w:r>
    </w:p>
    <w:tbl>
      <w:tblPr>
        <w:tblStyle w:val="11"/>
        <w:tblW w:w="13284" w:type="dxa"/>
        <w:jc w:val="center"/>
        <w:tblLayout w:type="fixed"/>
        <w:tblCellMar>
          <w:top w:w="0" w:type="dxa"/>
          <w:left w:w="108" w:type="dxa"/>
          <w:bottom w:w="0" w:type="dxa"/>
          <w:right w:w="108" w:type="dxa"/>
        </w:tblCellMar>
      </w:tblPr>
      <w:tblGrid>
        <w:gridCol w:w="764"/>
        <w:gridCol w:w="1170"/>
        <w:gridCol w:w="1096"/>
        <w:gridCol w:w="1198"/>
        <w:gridCol w:w="2323"/>
        <w:gridCol w:w="1005"/>
        <w:gridCol w:w="1401"/>
        <w:gridCol w:w="979"/>
        <w:gridCol w:w="876"/>
        <w:gridCol w:w="996"/>
        <w:gridCol w:w="1476"/>
      </w:tblGrid>
      <w:tr>
        <w:tblPrEx>
          <w:tblCellMar>
            <w:top w:w="0" w:type="dxa"/>
            <w:left w:w="108" w:type="dxa"/>
            <w:bottom w:w="0" w:type="dxa"/>
            <w:right w:w="108" w:type="dxa"/>
          </w:tblCellMar>
        </w:tblPrEx>
        <w:trPr>
          <w:trHeight w:val="975" w:hRule="atLeast"/>
          <w:tblHeader/>
          <w:jc w:val="center"/>
        </w:trPr>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b/>
                <w:color w:val="000000"/>
                <w:szCs w:val="21"/>
              </w:rPr>
            </w:pPr>
            <w:r>
              <w:rPr>
                <w:rFonts w:ascii="Times New Roman" w:hAnsi="Times New Roman" w:eastAsia="方正仿宋_GBK"/>
                <w:b/>
                <w:color w:val="000000"/>
                <w:szCs w:val="21"/>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项目类别</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所在镇区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项目名称</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建设内容、规模</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所属控制单元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目标水体/</w:t>
            </w:r>
          </w:p>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断面</w:t>
            </w:r>
          </w:p>
        </w:tc>
        <w:tc>
          <w:tcPr>
            <w:tcW w:w="9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计划总投资(万元）</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项目目前进度</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完成期限</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责任单位</w:t>
            </w:r>
          </w:p>
        </w:tc>
      </w:tr>
      <w:tr>
        <w:tblPrEx>
          <w:tblCellMar>
            <w:top w:w="0" w:type="dxa"/>
            <w:left w:w="108" w:type="dxa"/>
            <w:bottom w:w="0" w:type="dxa"/>
            <w:right w:w="108" w:type="dxa"/>
          </w:tblCellMar>
        </w:tblPrEx>
        <w:trPr>
          <w:trHeight w:val="102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工业企业达标整治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欣晨乳业污水处理改造，提升处理至400吨/日</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2022.3</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工业企业达标整治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天盛粮油污水处理系统，新增污水处理系统20吨/日</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60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曹埠镇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工业企业达标整治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如东富强针织印染有限公司废水深度治理，通过增加3种混凝药剂对2000t/d废水总磷进行深度治理</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2022.5</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双甸镇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工业企业达标整治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宇迪光学污水处理设施提标升级项目，日处理能力1700吨</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如泰运河/曙光电灌站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如东县双甸镇人民政府</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工业企业达标整治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旷美帽业新增污水处理系统15吨/日</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9.18</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85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经济开发区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清洁化改造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恒辉安防中水回用项目800t/d</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如东经济开发区管委会</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工业污染防治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洋口港经济开发区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配套管网建设</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新建园区“一企一管”污水收集管网约5公里</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洋口港经济开发区管委会</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河口镇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城镇污水处理设施建设与改造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河源污水处理厂提标改造</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140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如东县河口镇人民政府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双甸镇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城镇污水处理设施建设与改造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双南老街水环境治理生活污水处理站项目，日处理能力400吨</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如泰运河/曙光电灌站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150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2022.7</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如东县双甸镇人民政府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掘港街道、城中街道、经济开发区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城镇污水处理设施建设与改造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城区污水设施提质增效工程：城区互联互通污水管网建设、二污厂、恒发污水厂两座污水厂尾水生态安全缓冲区建设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20700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2023.3</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如东水务集团有限公司</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掘港街道</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城镇污水处理设施建设与改造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东泽源污水厂扩建2.5万吨/日，由原来日处理量2.5万吨扩建至日处理量5.0万吨</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7300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2023.3</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如东水务集团有限公司</w:t>
            </w:r>
          </w:p>
        </w:tc>
      </w:tr>
      <w:tr>
        <w:tblPrEx>
          <w:tblCellMar>
            <w:top w:w="0" w:type="dxa"/>
            <w:left w:w="108" w:type="dxa"/>
            <w:bottom w:w="0" w:type="dxa"/>
            <w:right w:w="108" w:type="dxa"/>
          </w:tblCellMar>
        </w:tblPrEx>
        <w:trPr>
          <w:trHeight w:val="90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洋口镇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在洋口镇风电产业园铺设生活污水管网约6.1公里。</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如东县洋口镇人民政府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洋口镇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在洋口镇老集镇和镇区市政道路铺设污水管网约52公里、污水处理设备46座</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2022.9</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如东县洋口镇人民政府</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新建污水管网设施长度2.2公里</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9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348</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栟茶镇污水支管网建设工程：三星小区南侧、茗海中学北面路段</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309</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2022.9</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383"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曹埠镇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曹埠镇堤南社区污水管网至曹埠镇镇区污水管网项目：新建5公里污水主管网和支管网</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2023.4</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岔河镇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岔河镇九洋河两侧生活污水和排口纳管收集，建设临河污水支管网约2.9公里，污水提升泵3个；对镇区九洋河东和西必接单位进行污水纳管改造；对鑫山花园、龙珠花苑2个小区进行雨污分流改造</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如东县岔河镇人民政府</w:t>
            </w:r>
          </w:p>
        </w:tc>
      </w:tr>
      <w:tr>
        <w:tblPrEx>
          <w:tblCellMar>
            <w:top w:w="0" w:type="dxa"/>
            <w:left w:w="108" w:type="dxa"/>
            <w:bottom w:w="0" w:type="dxa"/>
            <w:right w:w="108" w:type="dxa"/>
          </w:tblCellMar>
        </w:tblPrEx>
        <w:trPr>
          <w:trHeight w:val="85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马塘镇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三角岛市河新建4公里支管网</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500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如东县马塘镇人民政府</w:t>
            </w:r>
          </w:p>
        </w:tc>
      </w:tr>
      <w:tr>
        <w:tblPrEx>
          <w:tblCellMar>
            <w:top w:w="0" w:type="dxa"/>
            <w:left w:w="108" w:type="dxa"/>
            <w:bottom w:w="0" w:type="dxa"/>
            <w:right w:w="108" w:type="dxa"/>
          </w:tblCellMar>
        </w:tblPrEx>
        <w:trPr>
          <w:trHeight w:val="293"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19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大豫镇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万寿机械厂周边、向阳路、老派出所地块、老334线路北支管网项目，四贯河沿河截污改造工程，兵中集资楼雨污分流改造工程：预计建设污水支管网3.54公里</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479</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如东县大豫镇人民政府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新店镇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解放路、九洋河、六百河、洋兴路、大白线预计建设污水支管网3.3公里</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600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如东县新店镇人民政府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河口镇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绘制镇区管网图，对近7km污水管道疏通维护</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46.8</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前期（目前工程已开标）</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2022.11</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如东县河口镇人民政府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掘港街道、城中街道</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完成县城区内四个污水提质增效达标区7.73平方公里建设项目实施包括管网的排查、疏通、检测、评估、设计、整治等内容</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4000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如东县住建局、如东水务集团有限公司</w:t>
            </w:r>
          </w:p>
        </w:tc>
      </w:tr>
      <w:tr>
        <w:tblPrEx>
          <w:tblCellMar>
            <w:top w:w="0" w:type="dxa"/>
            <w:left w:w="108" w:type="dxa"/>
            <w:bottom w:w="0" w:type="dxa"/>
            <w:right w:w="108" w:type="dxa"/>
          </w:tblCellMar>
        </w:tblPrEx>
        <w:trPr>
          <w:trHeight w:val="85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丰利镇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丰利镇镇区马丰河两侧生活污水和排口纳管收集，建设临河污水支管网；对通海路周边、周桥8、9、10、11组、丰西农民街、五义农民街、环农农民街等必接单位进行污水纳管改造，新建污水管网总长度约8.4km。</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2195</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如东县丰利镇人民政府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配套管网工程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苴镇老集镇和新光老集镇两个片区二期工程管道总长4.4公里</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1100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90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城镇污水处理及管网建设</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经济开发区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垃圾渗滤液处理</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城区生活垃圾中转站垃圾渗滤液13140t/a处置项目</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3716.31</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如东县城管局</w:t>
            </w:r>
          </w:p>
        </w:tc>
      </w:tr>
      <w:tr>
        <w:tblPrEx>
          <w:tblCellMar>
            <w:top w:w="0" w:type="dxa"/>
            <w:left w:w="108" w:type="dxa"/>
            <w:bottom w:w="0" w:type="dxa"/>
            <w:right w:w="108" w:type="dxa"/>
          </w:tblCellMar>
        </w:tblPrEx>
        <w:trPr>
          <w:trHeight w:val="90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河口镇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农村环境连片整治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河口镇秸秆全量离田项目：10000亩</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45</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如东县河口镇人民政府</w:t>
            </w:r>
          </w:p>
        </w:tc>
      </w:tr>
      <w:tr>
        <w:tblPrEx>
          <w:tblCellMar>
            <w:top w:w="0" w:type="dxa"/>
            <w:left w:w="108" w:type="dxa"/>
            <w:bottom w:w="0" w:type="dxa"/>
            <w:right w:w="108" w:type="dxa"/>
          </w:tblCellMar>
        </w:tblPrEx>
        <w:trPr>
          <w:trHeight w:val="85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河口镇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部分农污处理设施尾水排放缓冲带建设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如东县河口镇人</w:t>
            </w:r>
            <w:r>
              <w:rPr>
                <w:rFonts w:ascii="Times New Roman" w:hAnsi="Times New Roman" w:eastAsia="方正仿宋_GBK"/>
                <w:color w:val="000000"/>
                <w:szCs w:val="28"/>
              </w:rPr>
              <w:t>民政府</w:t>
            </w:r>
          </w:p>
        </w:tc>
      </w:tr>
      <w:tr>
        <w:tblPrEx>
          <w:tblCellMar>
            <w:top w:w="0" w:type="dxa"/>
            <w:left w:w="108" w:type="dxa"/>
            <w:bottom w:w="0" w:type="dxa"/>
            <w:right w:w="108" w:type="dxa"/>
          </w:tblCellMar>
        </w:tblPrEx>
        <w:trPr>
          <w:trHeight w:val="102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竹园农污整村推进工程：预计接入1000户以上，接户率80%以上</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102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29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镇农污三期工程：孙庄、朱庄、海河滩、赵港村预计接入600户</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2223</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曹埠镇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冯桥村农户生活污水治理整村推进：接入720户以上</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1008</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曹埠镇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孙窑社区农户生活污水纳管约200户</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520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曹埠镇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下漫社区农户生活污水纳管约150户</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掘港街道</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环镇老集镇农村污水纳管改造项目、掘西农居点污水纳管改造项目、童北老集镇农村污水纳管改造项目、华丰老集镇农村污水纳管改造项目</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640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2022.8</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如东掘港街道办事处</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城中街道</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农村生活污染治理项目：计划新增纳管1500户</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4500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如东城中街道办事处</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岔河镇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对振兴、振河、玉林、金桥4个村实施农污“双60”农污建设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如东县岔河镇人民政府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丰利镇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双沟门、玉窑、华严、凹桥4个村实施农污“双60%”农污建设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如东县丰利镇人民政府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农村污水收集管网建设项目：如东县、掘苴河沿线5个村生活污水治理片区建设覆盖农户1000户</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苴镇金凤村、蔡桥村、凤阳村、刘埠村、东海社区1000户</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1800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39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长沙镇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农村污水收集与处理工程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长沙镇陆河、长堤、富盐、北坎村1000户农村污水纳管项目</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2500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如东县长沙镇人民政府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长沙镇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养殖池塘生态化改造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滨海村和富盐村第七片区总计占地面积2000亩的南美白对虾尾水处理项目。</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1090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如东县长沙镇人民政府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养殖池塘生态化改造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兴凌、兴灶、江安共约3000亩南美白对虾养殖尾水整治</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养殖池塘生态化改造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北凌河沿线9条支流开展应急管控，减少养殖尾水对断面的影响</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88.5</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大豫镇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养殖池塘生态化改造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20000亩南美白对虾养殖尾水整治，九龙村及政府辖区（北二河至南七河、公共河）利用管网连接后利用生态处理技术处理养殖尾水</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7000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如东县大豫镇人民政府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养殖池塘生态化改造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何丫村4200亩、东海社区1990亩南美白对虾尾水处理项目</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丰利镇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养殖池塘生态化改造</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丰利镇沿海光荣、环渔、环农三个村在养殖区设置生态净化区一、二、三级生态净化总面积为3778.84亩、尾水收集井6000m³、尾水收集池200苗</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1080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如东县丰利镇人民政府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河口镇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农田退水和地表径流净化工程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河口镇双港村高标准农田排灌系统生态化建设试点，控制面积约1800亩：节制闸4座，生态护岸1.6km，岸坡绿化面积13万平方米、树木21920株</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235.22</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如东县农业农村局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新店镇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农田退水和地表径流净化工程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新店镇月池村、新联村高标准农田排灌系统生态化建设试点，控制面积约1500亩：节制闸5座，生态护岸3.364km、草籽9000平、树木3470株</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561.03</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如东县农业农村局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大豫镇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农田退水和地表径流净化工程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大豫镇一门闸村高标准农田排灌系统生态化建设试点，控制面积约5500亩：节制闸2座，生态护岸4.5km，高效节水灌区2300亩、草籽60400平、树木5600株</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603.66</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如东县农业农村局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49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农田退水和地表径流净化工程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苴镇街道蔡桥村、刘埠村高标准农田排灌系统生态化建设试点，控制面积约370000亩：节制闸4座，生态护岸3.3km、草籽4000平、树木1350株</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338.58</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如东县农业农村局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曹埠镇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农田退水和地表径流净化工程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在孙窑大桥国考站点上游1.2km处通如界河建设电动闸口一座，在孙窑大桥国考站点上游950米处五七界河建设电动闸口一座，以管控农田退水对断面影响</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85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农村环境连片整治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秸秆梨耕深翻还田5000亩</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85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农村环境连片整治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秸秆全量离田：实施新庄村7580亩</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92</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2022.7</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城中街道</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农村环境连片整治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对县城区核心片区水系：新光三级河、新光四级河、新竖二河、新竖一河等进行污染源调查整治、控源截污、河道淤泥测量及清淤、增加水动力、建立生态水系、常态长效管理</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1500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如东县水务局</w:t>
            </w:r>
          </w:p>
        </w:tc>
      </w:tr>
      <w:tr>
        <w:tblPrEx>
          <w:tblCellMar>
            <w:top w:w="0" w:type="dxa"/>
            <w:left w:w="108" w:type="dxa"/>
            <w:bottom w:w="0" w:type="dxa"/>
            <w:right w:w="108" w:type="dxa"/>
          </w:tblCellMar>
        </w:tblPrEx>
        <w:trPr>
          <w:trHeight w:val="85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城中街道</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农村环境连片整治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稻秸秆犁耕深翻还田5000亩</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如东县城中街道办事处</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农村环境连片整治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畜禽粪污处置中心常态化运行和农药包装废弃物定点回收</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90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96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农村环境连片整治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农田整体秸秆离田：王潭，蔡桥等村约10000亩</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2022.7</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栟茶运河、北凌河、滩河、团结河、河垦中心河、西垦团结河、五灶港河沿线排污口整治</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2022.5</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栟茶镇五灶港河污染源整治9.6公里</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59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马塘镇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马塘镇常青四季河两侧农户生活污水整治</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700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如东县马塘镇人民政府</w:t>
            </w:r>
          </w:p>
        </w:tc>
      </w:tr>
      <w:tr>
        <w:tblPrEx>
          <w:tblCellMar>
            <w:top w:w="0" w:type="dxa"/>
            <w:left w:w="108" w:type="dxa"/>
            <w:bottom w:w="0" w:type="dxa"/>
            <w:right w:w="108" w:type="dxa"/>
          </w:tblCellMar>
        </w:tblPrEx>
        <w:trPr>
          <w:trHeight w:val="82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大豫镇、掘港街道、城中街道、马塘镇、岔河镇、双甸镇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对如泰运河及一级支流上游10公里入河排污口溯源排查，分类标识，形成点位分布图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南通市如东生态环境局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61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栟茶镇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对北凌河及一级支流上游10公里入河排污口溯源排查，分类标识，形成点位分布图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南通市如东生态环境局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62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袁庄镇、栟茶镇、河口镇、洋口镇、丰利镇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对栟茶运河及一级支流上游10公里入河排污口溯源排查，分类标识，形成点位分布图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南通市如东生态环境局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63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曹埠镇、马塘镇、新店镇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对九圩港及一级支流上游10公里入河排污口溯源排查，分类标识，形成点位分布图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南通市如东生态环境局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olor w:val="000000"/>
                <w:szCs w:val="21"/>
              </w:rPr>
            </w:pPr>
            <w:r>
              <w:rPr>
                <w:rFonts w:ascii="Times New Roman" w:hAnsi="Times New Roman" w:eastAsia="方正仿宋_GBK"/>
                <w:szCs w:val="21"/>
              </w:rPr>
              <w:t>64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排污口整治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外向型农业综合开发区、城中街道、长沙镇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入河排污口综合整治</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对掘苴河及一级支流上游10公里入河排污口溯源排查，分类标识，形成点位分布图</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南通市如东生态环境局</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ascii="Times New Roman" w:hAnsi="Times New Roman"/>
                <w:b w:val="0"/>
                <w:sz w:val="21"/>
                <w:szCs w:val="21"/>
              </w:rPr>
              <w:t>65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szCs w:val="28"/>
              </w:rPr>
              <w:t>外向型农业综合开发区</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农田退水和地表径流净化工程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王潭村、蔡桥村农田排灌系统生态化改造项目</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113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22"/>
              <w:spacing w:before="0" w:after="0" w:line="240" w:lineRule="exact"/>
              <w:ind w:firstLine="0" w:firstLineChars="0"/>
              <w:jc w:val="center"/>
              <w:rPr>
                <w:rFonts w:ascii="Times New Roman" w:hAnsi="Times New Roman"/>
                <w:color w:val="000000"/>
                <w:sz w:val="21"/>
                <w:szCs w:val="21"/>
              </w:rPr>
            </w:pPr>
            <w:r>
              <w:rPr>
                <w:rFonts w:hint="eastAsia" w:ascii="Times New Roman" w:hAnsi="Times New Roman"/>
                <w:b w:val="0"/>
                <w:sz w:val="21"/>
                <w:szCs w:val="21"/>
              </w:rPr>
              <w:t>66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农业农村污染防治</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洋口镇</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农田退水和地表径流净化工程</w:t>
            </w:r>
          </w:p>
        </w:tc>
        <w:tc>
          <w:tcPr>
            <w:tcW w:w="23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张埭村、池塘头村农田排灌系统生态化改造项目</w:t>
            </w:r>
          </w:p>
        </w:tc>
        <w:tc>
          <w:tcPr>
            <w:tcW w:w="10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1000</w:t>
            </w:r>
          </w:p>
        </w:tc>
        <w:tc>
          <w:tcPr>
            <w:tcW w:w="8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4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洋口镇人民政府</w:t>
            </w:r>
          </w:p>
        </w:tc>
      </w:tr>
    </w:tbl>
    <w:p>
      <w:pPr>
        <w:jc w:val="center"/>
        <w:rPr>
          <w:rFonts w:ascii="Times New Roman" w:hAnsi="Times New Roman" w:eastAsia="方正小标宋_GBK"/>
          <w:b/>
          <w:sz w:val="32"/>
          <w:szCs w:val="32"/>
        </w:rPr>
      </w:pPr>
      <w:r>
        <w:rPr>
          <w:rFonts w:ascii="Times New Roman" w:hAnsi="Times New Roman" w:eastAsia="方正仿宋_GBK"/>
          <w:color w:val="000000"/>
          <w:szCs w:val="28"/>
        </w:rPr>
        <w:br w:type="page"/>
      </w:r>
      <w:r>
        <w:rPr>
          <w:rFonts w:ascii="黑体" w:hAnsi="黑体" w:eastAsia="黑体" w:cs="黑体"/>
          <w:b/>
          <w:sz w:val="32"/>
          <w:szCs w:val="32"/>
        </w:rPr>
        <w:t>表3  生态流量保障项目</w:t>
      </w:r>
    </w:p>
    <w:tbl>
      <w:tblPr>
        <w:tblStyle w:val="11"/>
        <w:tblW w:w="13204" w:type="dxa"/>
        <w:jc w:val="center"/>
        <w:tblLayout w:type="fixed"/>
        <w:tblCellMar>
          <w:top w:w="0" w:type="dxa"/>
          <w:left w:w="108" w:type="dxa"/>
          <w:bottom w:w="0" w:type="dxa"/>
          <w:right w:w="108" w:type="dxa"/>
        </w:tblCellMar>
      </w:tblPr>
      <w:tblGrid>
        <w:gridCol w:w="679"/>
        <w:gridCol w:w="1140"/>
        <w:gridCol w:w="1117"/>
        <w:gridCol w:w="1195"/>
        <w:gridCol w:w="2268"/>
        <w:gridCol w:w="1134"/>
        <w:gridCol w:w="1276"/>
        <w:gridCol w:w="1134"/>
        <w:gridCol w:w="1134"/>
        <w:gridCol w:w="996"/>
        <w:gridCol w:w="1131"/>
      </w:tblGrid>
      <w:tr>
        <w:tblPrEx>
          <w:tblCellMar>
            <w:top w:w="0" w:type="dxa"/>
            <w:left w:w="108" w:type="dxa"/>
            <w:bottom w:w="0" w:type="dxa"/>
            <w:right w:w="108" w:type="dxa"/>
          </w:tblCellMar>
        </w:tblPrEx>
        <w:trPr>
          <w:trHeight w:val="975" w:hRule="atLeast"/>
          <w:tblHeader/>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项目类别</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所在镇区</w:t>
            </w:r>
          </w:p>
        </w:tc>
        <w:tc>
          <w:tcPr>
            <w:tcW w:w="11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建设内容、规模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所属控制单元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目标水体/断面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计划总投资(万元）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项目目前进度</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完成期限</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责任单位</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曹埠镇、掘港街道、大豫镇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公共河、南荡河、飞跃河河道综合整治清淤工程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2520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如东县水务局</w:t>
            </w:r>
          </w:p>
        </w:tc>
      </w:tr>
      <w:tr>
        <w:tblPrEx>
          <w:tblCellMar>
            <w:top w:w="0" w:type="dxa"/>
            <w:left w:w="108" w:type="dxa"/>
            <w:bottom w:w="0" w:type="dxa"/>
            <w:right w:w="108" w:type="dxa"/>
          </w:tblCellMar>
        </w:tblPrEx>
        <w:trPr>
          <w:trHeight w:val="961"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马塘镇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马塘镇各村（社区）沟塘、自然河道清淤疏浚</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210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2022.10</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如东县马塘镇人民政府</w:t>
            </w:r>
          </w:p>
        </w:tc>
      </w:tr>
      <w:tr>
        <w:tblPrEx>
          <w:tblCellMar>
            <w:top w:w="0" w:type="dxa"/>
            <w:left w:w="108" w:type="dxa"/>
            <w:bottom w:w="0" w:type="dxa"/>
            <w:right w:w="108" w:type="dxa"/>
          </w:tblCellMar>
        </w:tblPrEx>
        <w:trPr>
          <w:trHeight w:val="961"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3</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马塘镇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对如泰运河沿岸进行管护2500米</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750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如东县马塘镇人民政府</w:t>
            </w:r>
          </w:p>
        </w:tc>
      </w:tr>
      <w:tr>
        <w:tblPrEx>
          <w:tblCellMar>
            <w:top w:w="0" w:type="dxa"/>
            <w:left w:w="108" w:type="dxa"/>
            <w:bottom w:w="0" w:type="dxa"/>
            <w:right w:w="108" w:type="dxa"/>
          </w:tblCellMar>
        </w:tblPrEx>
        <w:trPr>
          <w:trHeight w:val="961"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4</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马塘镇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副业场河拆坝建涵</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如东县马塘镇人民政府</w:t>
            </w:r>
          </w:p>
        </w:tc>
      </w:tr>
      <w:tr>
        <w:tblPrEx>
          <w:tblCellMar>
            <w:top w:w="0" w:type="dxa"/>
            <w:left w:w="108" w:type="dxa"/>
            <w:bottom w:w="0" w:type="dxa"/>
            <w:right w:w="108" w:type="dxa"/>
          </w:tblCellMar>
        </w:tblPrEx>
        <w:trPr>
          <w:trHeight w:val="961"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5</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马塘镇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闸坝建设：建桥11座、建函5座</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540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如东县马塘镇人民政府</w:t>
            </w:r>
          </w:p>
        </w:tc>
      </w:tr>
      <w:tr>
        <w:tblPrEx>
          <w:tblCellMar>
            <w:top w:w="0" w:type="dxa"/>
            <w:left w:w="108" w:type="dxa"/>
            <w:bottom w:w="0" w:type="dxa"/>
            <w:right w:w="108" w:type="dxa"/>
          </w:tblCellMar>
        </w:tblPrEx>
        <w:trPr>
          <w:trHeight w:val="989"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6</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城中街道</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城中街道掘九河、丁杨车口、秀潮河河道疏浚</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80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如东县城中街道办事处</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7</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大豫镇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计划对九龙村、大同村5条河实施河道疏浚整治，疏浚长度23.6公里，土方量27.75万方。</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450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2022.5</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如东县大豫镇人民政府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8</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大豫镇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如泰运河下游生态缓冲带修复：（西至四贯河、东至八贯河、北至兵北河、南至兵南河）水系贯通及内源清淤工程。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如东县大豫镇人民政府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9</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大豫镇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7条生态河道绿化长度35.23公里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750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如东县大豫镇人民政府</w:t>
            </w:r>
          </w:p>
        </w:tc>
      </w:tr>
      <w:tr>
        <w:tblPrEx>
          <w:tblCellMar>
            <w:top w:w="0" w:type="dxa"/>
            <w:left w:w="108" w:type="dxa"/>
            <w:bottom w:w="0" w:type="dxa"/>
            <w:right w:w="108" w:type="dxa"/>
          </w:tblCellMar>
        </w:tblPrEx>
        <w:trPr>
          <w:trHeight w:val="848"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10</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曹埠镇打造生态河道2条，全长7公里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417</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848"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11</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疏浚整治农村黑臭河道、沟塘50条，长16公里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12</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双甸镇石甸社区、田季、石南村，疏浚河道2条5.5公里，5.3万方</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如泰运河/曙光电灌站</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85</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如东县双甸镇人民政府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13</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双甸镇疏浚整治农村黑臭水体14条，计8.36公里，8.5万方</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如泰运河/曙光电灌站</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120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如东县双甸镇人民政府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14</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双甸镇镇南、双南、锡伍、石南、鹤井村打造生态河4条，16.57公里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如泰运河/曙光电站、东安闸西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250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前期（方案编制、测绘预算）</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如东县双甸镇人民政府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15</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栟茶镇浒澪中心河河道疏浚：1.65km，5800立方</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5.2</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16</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生态河项目建设：浒澪中心河、广田河、五引河、团结河、学广河，约18km</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450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11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17</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黑臭水体整治：三星、兴镇、杨堡、竹园、大窑、浒澪，约13.16km</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北凌河/北凌新闸</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98</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2022.9</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如东县栟茶镇人民政府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18</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洋口镇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洋口镇拆坝建桥（涵）项目：新建桥梁10座</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150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如东县洋口镇人民政府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19</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袁庄镇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袁庄镇疏浚河道两条：7.2公里，9.30万方土</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栟茶运河/袁庄水站</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140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如东县袁庄镇人民政府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20</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新店镇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生态河道建设新店镇南千八河、北千八河9.1公里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90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如东县新店镇人民政府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21</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新店镇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新店镇三角渡、深河、顾高桥、汤园社区900米黑臭水体整治</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如东县新店镇人民政府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22</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外农水环境整治工程：全长35.5公里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6000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23</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外农生态河续建：13条，总长度29Km，采用桩木防护</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1200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2022.4</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24</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通过综合整治，全面消除国考断面周边骨干河道黑臭水体</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2022.4</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外向型农业综合开发区管委会</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25</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丰利镇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丰利镇双沟门村马丰河支流建设双孔2*2涵闸2处</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60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2022.8</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如东县丰利镇人民政府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26</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丰利镇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丰利镇农村黑臭水体整治94处，长约35公里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140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如东县丰利镇人民政府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27</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丰利镇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丰利镇生态河道计划建设9条，25.12公里</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如东县丰利镇人民政府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28</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岔河镇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共建设生态河长14.54千米，植树造林7270株，岸坡绿化面积8.7万平方米。</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540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如东县岔河镇人民政府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29</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河口镇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河口镇河道疏浚8km,土方约5.9万方</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48</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如东县河口镇人民政府</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30</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掘港街道</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灯塔中心河、沿环河等4条生态河道疏浚、绿化、木桩、草籽护坡</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前期（测绘、设计）</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如东县掘港街道办事处</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31</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新店镇、岔河镇、丰利镇、洋口镇</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九洋河河道疏浚整治工程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栟茶运河/小洋口老闸内</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11276</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如东县水务局</w:t>
            </w:r>
          </w:p>
        </w:tc>
      </w:tr>
      <w:tr>
        <w:tblPrEx>
          <w:tblCellMar>
            <w:top w:w="0" w:type="dxa"/>
            <w:left w:w="108" w:type="dxa"/>
            <w:bottom w:w="0" w:type="dxa"/>
            <w:right w:w="108" w:type="dxa"/>
          </w:tblCellMar>
        </w:tblPrEx>
        <w:trPr>
          <w:trHeight w:val="96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0" w:after="0" w:line="240" w:lineRule="exact"/>
              <w:ind w:firstLine="0" w:firstLineChars="0"/>
              <w:jc w:val="center"/>
              <w:rPr>
                <w:rFonts w:ascii="Times New Roman" w:hAnsi="Times New Roman"/>
                <w:color w:val="000000"/>
                <w:sz w:val="21"/>
                <w:szCs w:val="28"/>
              </w:rPr>
            </w:pPr>
            <w:r>
              <w:rPr>
                <w:rFonts w:ascii="Times New Roman" w:hAnsi="Times New Roman"/>
                <w:b w:val="0"/>
                <w:sz w:val="21"/>
                <w:szCs w:val="21"/>
              </w:rPr>
              <w:t>32</w:t>
            </w:r>
          </w:p>
        </w:tc>
        <w:tc>
          <w:tcPr>
            <w:tcW w:w="11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水资源优化调度</w:t>
            </w:r>
          </w:p>
        </w:tc>
        <w:tc>
          <w:tcPr>
            <w:tcW w:w="111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全县</w:t>
            </w:r>
          </w:p>
        </w:tc>
        <w:tc>
          <w:tcPr>
            <w:tcW w:w="119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水系连通工程</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疏浚整治农村河道36条，85公里，80万方</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全县范围</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五个国考断面　</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1500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99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13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如东县水务局</w:t>
            </w:r>
          </w:p>
        </w:tc>
      </w:tr>
    </w:tbl>
    <w:p>
      <w:pPr>
        <w:jc w:val="center"/>
        <w:rPr>
          <w:rFonts w:ascii="Times New Roman" w:hAnsi="Times New Roman" w:eastAsia="方正小标宋_GBK"/>
          <w:b/>
          <w:sz w:val="32"/>
          <w:szCs w:val="32"/>
        </w:rPr>
      </w:pPr>
      <w:r>
        <w:rPr>
          <w:rFonts w:ascii="Times New Roman" w:hAnsi="Times New Roman" w:eastAsia="方正仿宋_GBK"/>
          <w:color w:val="000000"/>
          <w:szCs w:val="28"/>
        </w:rPr>
        <w:br w:type="page"/>
      </w:r>
      <w:r>
        <w:rPr>
          <w:rFonts w:hint="eastAsia" w:ascii="黑体" w:hAnsi="黑体" w:eastAsia="黑体" w:cs="黑体"/>
          <w:b/>
          <w:sz w:val="32"/>
          <w:szCs w:val="32"/>
        </w:rPr>
        <w:t>表4  水环境风险防控项目</w:t>
      </w:r>
    </w:p>
    <w:tbl>
      <w:tblPr>
        <w:tblStyle w:val="11"/>
        <w:tblW w:w="13178" w:type="dxa"/>
        <w:jc w:val="center"/>
        <w:tblLayout w:type="fixed"/>
        <w:tblCellMar>
          <w:top w:w="0" w:type="dxa"/>
          <w:left w:w="108" w:type="dxa"/>
          <w:bottom w:w="0" w:type="dxa"/>
          <w:right w:w="108" w:type="dxa"/>
        </w:tblCellMar>
      </w:tblPr>
      <w:tblGrid>
        <w:gridCol w:w="700"/>
        <w:gridCol w:w="1080"/>
        <w:gridCol w:w="1080"/>
        <w:gridCol w:w="1104"/>
        <w:gridCol w:w="2410"/>
        <w:gridCol w:w="992"/>
        <w:gridCol w:w="1134"/>
        <w:gridCol w:w="1276"/>
        <w:gridCol w:w="992"/>
        <w:gridCol w:w="1134"/>
        <w:gridCol w:w="1276"/>
      </w:tblGrid>
      <w:tr>
        <w:tblPrEx>
          <w:tblCellMar>
            <w:top w:w="0" w:type="dxa"/>
            <w:left w:w="108" w:type="dxa"/>
            <w:bottom w:w="0" w:type="dxa"/>
            <w:right w:w="108" w:type="dxa"/>
          </w:tblCellMar>
        </w:tblPrEx>
        <w:trPr>
          <w:trHeight w:val="54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项目类别</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color w:val="000000"/>
                <w:szCs w:val="28"/>
              </w:rPr>
              <w:t>县（市、区）</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项目名称</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建设内容、规模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所属控制单元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目标水体/断面</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计划总投资(万元）</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项目目前进度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color w:val="000000"/>
                <w:szCs w:val="28"/>
              </w:rPr>
              <w:t>完成期限</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szCs w:val="28"/>
              </w:rPr>
              <w:t>责任单位</w:t>
            </w:r>
          </w:p>
        </w:tc>
      </w:tr>
      <w:tr>
        <w:tblPrEx>
          <w:tblCellMar>
            <w:top w:w="0" w:type="dxa"/>
            <w:left w:w="108" w:type="dxa"/>
            <w:bottom w:w="0" w:type="dxa"/>
            <w:right w:w="108" w:type="dxa"/>
          </w:tblCellMar>
        </w:tblPrEx>
        <w:trPr>
          <w:trHeight w:val="908"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1</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水环境风险防控</w:t>
            </w:r>
          </w:p>
        </w:tc>
        <w:tc>
          <w:tcPr>
            <w:tcW w:w="10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经济开发区</w:t>
            </w:r>
          </w:p>
        </w:tc>
        <w:tc>
          <w:tcPr>
            <w:tcW w:w="11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事故应急池</w:t>
            </w:r>
          </w:p>
        </w:tc>
        <w:tc>
          <w:tcPr>
            <w:tcW w:w="241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电镀园应急处置能力，建设5000m</w:t>
            </w:r>
            <w:r>
              <w:rPr>
                <w:rFonts w:ascii="Times New Roman" w:hAnsi="Times New Roman" w:eastAsia="方正仿宋_GBK"/>
                <w:szCs w:val="28"/>
                <w:vertAlign w:val="superscript"/>
              </w:rPr>
              <w:t>3</w:t>
            </w:r>
            <w:r>
              <w:rPr>
                <w:rFonts w:ascii="Times New Roman" w:hAnsi="Times New Roman" w:eastAsia="方正仿宋_GBK"/>
                <w:szCs w:val="28"/>
              </w:rPr>
              <w:t>事故应急池</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1200</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如东经济开发区管委会</w:t>
            </w:r>
          </w:p>
        </w:tc>
      </w:tr>
      <w:tr>
        <w:tblPrEx>
          <w:tblCellMar>
            <w:top w:w="0" w:type="dxa"/>
            <w:left w:w="108" w:type="dxa"/>
            <w:bottom w:w="0" w:type="dxa"/>
            <w:right w:w="108" w:type="dxa"/>
          </w:tblCellMar>
        </w:tblPrEx>
        <w:trPr>
          <w:trHeight w:val="83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2</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水环境风险防控</w:t>
            </w:r>
          </w:p>
        </w:tc>
        <w:tc>
          <w:tcPr>
            <w:tcW w:w="10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经济开发区　</w:t>
            </w:r>
          </w:p>
        </w:tc>
        <w:tc>
          <w:tcPr>
            <w:tcW w:w="11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应急闸坝</w:t>
            </w:r>
          </w:p>
        </w:tc>
        <w:tc>
          <w:tcPr>
            <w:tcW w:w="241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“三级防控”雨水排口一期工程：排口截流闸</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52</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如东经济开发区管委会</w:t>
            </w:r>
          </w:p>
        </w:tc>
      </w:tr>
      <w:tr>
        <w:tblPrEx>
          <w:tblCellMar>
            <w:top w:w="0" w:type="dxa"/>
            <w:left w:w="108" w:type="dxa"/>
            <w:bottom w:w="0" w:type="dxa"/>
            <w:right w:w="108" w:type="dxa"/>
          </w:tblCellMar>
        </w:tblPrEx>
        <w:trPr>
          <w:trHeight w:val="1582"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3</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水环境风险防控</w:t>
            </w:r>
          </w:p>
        </w:tc>
        <w:tc>
          <w:tcPr>
            <w:tcW w:w="10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洋口镇　</w:t>
            </w:r>
          </w:p>
        </w:tc>
        <w:tc>
          <w:tcPr>
            <w:tcW w:w="11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应急闸坝</w:t>
            </w:r>
          </w:p>
        </w:tc>
        <w:tc>
          <w:tcPr>
            <w:tcW w:w="241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洋口化学工业园区内重点河流断面拟新增3座闸坝,用于园区突发状况封闭管理,防止污染外泄</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7000</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2023.6</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如东县洋口镇人民政府</w:t>
            </w:r>
          </w:p>
        </w:tc>
      </w:tr>
    </w:tbl>
    <w:p>
      <w:pPr>
        <w:jc w:val="center"/>
        <w:rPr>
          <w:rFonts w:ascii="Times New Roman" w:hAnsi="Times New Roman" w:eastAsia="方正小标宋_GBK"/>
          <w:b/>
          <w:sz w:val="32"/>
          <w:szCs w:val="32"/>
        </w:rPr>
      </w:pPr>
      <w:r>
        <w:rPr>
          <w:rFonts w:ascii="Times New Roman" w:hAnsi="Times New Roman" w:eastAsia="方正仿宋_GBK"/>
          <w:color w:val="000000"/>
          <w:szCs w:val="28"/>
        </w:rPr>
        <w:br w:type="page"/>
      </w:r>
      <w:r>
        <w:rPr>
          <w:rFonts w:hint="eastAsia" w:ascii="黑体" w:hAnsi="黑体" w:eastAsia="黑体" w:cs="黑体"/>
          <w:b/>
          <w:sz w:val="32"/>
          <w:szCs w:val="32"/>
        </w:rPr>
        <w:t>表5  能力建设项目</w:t>
      </w:r>
    </w:p>
    <w:tbl>
      <w:tblPr>
        <w:tblStyle w:val="11"/>
        <w:tblW w:w="13213" w:type="dxa"/>
        <w:jc w:val="center"/>
        <w:tblLayout w:type="fixed"/>
        <w:tblCellMar>
          <w:top w:w="0" w:type="dxa"/>
          <w:left w:w="108" w:type="dxa"/>
          <w:bottom w:w="0" w:type="dxa"/>
          <w:right w:w="108" w:type="dxa"/>
        </w:tblCellMar>
      </w:tblPr>
      <w:tblGrid>
        <w:gridCol w:w="736"/>
        <w:gridCol w:w="1248"/>
        <w:gridCol w:w="936"/>
        <w:gridCol w:w="1363"/>
        <w:gridCol w:w="2126"/>
        <w:gridCol w:w="993"/>
        <w:gridCol w:w="1275"/>
        <w:gridCol w:w="993"/>
        <w:gridCol w:w="1134"/>
        <w:gridCol w:w="1134"/>
        <w:gridCol w:w="1275"/>
      </w:tblGrid>
      <w:tr>
        <w:tblPrEx>
          <w:tblCellMar>
            <w:top w:w="0" w:type="dxa"/>
            <w:left w:w="108" w:type="dxa"/>
            <w:bottom w:w="0" w:type="dxa"/>
            <w:right w:w="108" w:type="dxa"/>
          </w:tblCellMar>
        </w:tblPrEx>
        <w:trPr>
          <w:trHeight w:val="1140" w:hRule="atLeast"/>
          <w:tblHeader/>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序号</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项目类别</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color w:val="000000"/>
                <w:szCs w:val="28"/>
              </w:rPr>
              <w:t>县（市、区）</w:t>
            </w:r>
          </w:p>
        </w:tc>
        <w:tc>
          <w:tcPr>
            <w:tcW w:w="136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建设内容、规模</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所属控制单元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目标水体/断面</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计划总投资(万元）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项目目前进度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完成期限</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责任单位</w:t>
            </w:r>
          </w:p>
        </w:tc>
      </w:tr>
      <w:tr>
        <w:tblPrEx>
          <w:tblCellMar>
            <w:top w:w="0" w:type="dxa"/>
            <w:left w:w="108" w:type="dxa"/>
            <w:bottom w:w="0" w:type="dxa"/>
            <w:right w:w="108" w:type="dxa"/>
          </w:tblCellMar>
        </w:tblPrEx>
        <w:trPr>
          <w:trHeight w:val="907"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1</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szCs w:val="28"/>
              </w:rPr>
            </w:pPr>
            <w:r>
              <w:rPr>
                <w:rFonts w:ascii="Times New Roman" w:hAnsi="Times New Roman" w:eastAsia="方正仿宋_GBK"/>
                <w:szCs w:val="28"/>
              </w:rPr>
              <w:t>水生态环境监测能力建设</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经济开发区</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自动监测网络建设项目</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水质自动监测站2座</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掘苴河/环东闸口</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370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如东经济开发区管委会</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2</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水生态环境监测能力建设</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洋口镇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自动监测网络建设项目</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洋口镇地表水在线监测系统建设项目：镇区及园区内主要河流断面拟增设20座微型站、12座浮标站</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2400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2022.6</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如东县洋口镇人民政府</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3</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水生态环境监测能力建设</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河口镇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工业园区企业在线监控安装</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安装在线监控设备</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110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2022.11</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如东县河口镇人民政府</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4</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水生态环境监测能力建设</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河口镇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河源污水处理厂在线监控</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安装在线监控设备</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如东县河口镇人民政府</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5</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水生态环境监测能力建设</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污水管网管理智慧系统</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委托第三方公司开发并建设一套污水管网运行智慧管理系统</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如泰运河/曙光电灌站</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350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如东县双甸镇人民政府</w:t>
            </w:r>
          </w:p>
        </w:tc>
      </w:tr>
    </w:tbl>
    <w:p>
      <w:pPr>
        <w:spacing w:line="500" w:lineRule="exact"/>
        <w:rPr>
          <w:rFonts w:ascii="Times New Roman" w:hAnsi="Times New Roman" w:eastAsia="方正仿宋_GBK"/>
          <w:szCs w:val="28"/>
        </w:rPr>
      </w:pPr>
    </w:p>
    <w:p>
      <w:pPr>
        <w:widowControl/>
        <w:jc w:val="left"/>
        <w:rPr>
          <w:rFonts w:ascii="Times New Roman" w:hAnsi="Times New Roman" w:eastAsia="方正仿宋_GBK"/>
          <w:szCs w:val="28"/>
        </w:rPr>
      </w:pPr>
      <w:r>
        <w:rPr>
          <w:rFonts w:ascii="Times New Roman" w:hAnsi="Times New Roman" w:eastAsia="方正仿宋_GBK"/>
          <w:szCs w:val="28"/>
        </w:rPr>
        <w:br w:type="page"/>
      </w:r>
    </w:p>
    <w:p>
      <w:pPr>
        <w:jc w:val="center"/>
        <w:rPr>
          <w:rFonts w:ascii="Times New Roman" w:hAnsi="Times New Roman" w:eastAsia="方正小标宋_GBK"/>
          <w:b/>
          <w:sz w:val="32"/>
          <w:szCs w:val="32"/>
        </w:rPr>
      </w:pPr>
      <w:r>
        <w:rPr>
          <w:rFonts w:hint="eastAsia" w:ascii="黑体" w:hAnsi="黑体" w:eastAsia="黑体" w:cs="黑体"/>
          <w:b/>
          <w:sz w:val="32"/>
          <w:szCs w:val="32"/>
        </w:rPr>
        <w:t>表6  管网排查、修复项目</w:t>
      </w:r>
    </w:p>
    <w:tbl>
      <w:tblPr>
        <w:tblStyle w:val="11"/>
        <w:tblW w:w="13213" w:type="dxa"/>
        <w:jc w:val="center"/>
        <w:tblLayout w:type="fixed"/>
        <w:tblCellMar>
          <w:top w:w="0" w:type="dxa"/>
          <w:left w:w="108" w:type="dxa"/>
          <w:bottom w:w="0" w:type="dxa"/>
          <w:right w:w="108" w:type="dxa"/>
        </w:tblCellMar>
      </w:tblPr>
      <w:tblGrid>
        <w:gridCol w:w="736"/>
        <w:gridCol w:w="1248"/>
        <w:gridCol w:w="936"/>
        <w:gridCol w:w="1363"/>
        <w:gridCol w:w="2126"/>
        <w:gridCol w:w="993"/>
        <w:gridCol w:w="1275"/>
        <w:gridCol w:w="993"/>
        <w:gridCol w:w="1134"/>
        <w:gridCol w:w="1134"/>
        <w:gridCol w:w="1275"/>
      </w:tblGrid>
      <w:tr>
        <w:tblPrEx>
          <w:tblCellMar>
            <w:top w:w="0" w:type="dxa"/>
            <w:left w:w="108" w:type="dxa"/>
            <w:bottom w:w="0" w:type="dxa"/>
            <w:right w:w="108" w:type="dxa"/>
          </w:tblCellMar>
        </w:tblPrEx>
        <w:trPr>
          <w:trHeight w:val="1140" w:hRule="atLeast"/>
          <w:tblHeader/>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序号</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项目类别</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szCs w:val="28"/>
              </w:rPr>
            </w:pPr>
            <w:r>
              <w:rPr>
                <w:rFonts w:ascii="Times New Roman" w:hAnsi="Times New Roman" w:eastAsia="方正仿宋_GBK"/>
                <w:b/>
                <w:color w:val="000000"/>
                <w:szCs w:val="28"/>
              </w:rPr>
              <w:t>县（市、区）</w:t>
            </w:r>
          </w:p>
        </w:tc>
        <w:tc>
          <w:tcPr>
            <w:tcW w:w="136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建设内容、规模</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所属控制单元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目标水体/断面</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计划总投资(万元）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项目目前进度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完成期限</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b/>
                <w:color w:val="000000"/>
                <w:szCs w:val="28"/>
              </w:rPr>
            </w:pPr>
            <w:r>
              <w:rPr>
                <w:rFonts w:ascii="Times New Roman" w:hAnsi="Times New Roman" w:eastAsia="方正仿宋_GBK"/>
                <w:b/>
                <w:color w:val="000000"/>
                <w:szCs w:val="28"/>
              </w:rPr>
              <w:t>责任单位</w:t>
            </w:r>
          </w:p>
        </w:tc>
      </w:tr>
      <w:tr>
        <w:tblPrEx>
          <w:tblCellMar>
            <w:top w:w="0" w:type="dxa"/>
            <w:left w:w="108" w:type="dxa"/>
            <w:bottom w:w="0" w:type="dxa"/>
            <w:right w:w="108" w:type="dxa"/>
          </w:tblCellMar>
        </w:tblPrEx>
        <w:trPr>
          <w:trHeight w:val="907"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1</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管网排查、修复项目</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河口镇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雨污分流改造、污水收集管网新建及老旧管网排查整治项目</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新建污水支管网分三个标段，共16.31km</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栟茶运河/小洋口</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1298.64</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在建（即将完成）</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2022.1基本完</w:t>
            </w:r>
          </w:p>
          <w:p>
            <w:pPr>
              <w:adjustRightInd w:val="0"/>
              <w:snapToGrid w:val="0"/>
              <w:jc w:val="center"/>
              <w:rPr>
                <w:rFonts w:ascii="Times New Roman" w:hAnsi="Times New Roman" w:eastAsia="方正仿宋_GBK"/>
                <w:szCs w:val="28"/>
              </w:rPr>
            </w:pPr>
            <w:r>
              <w:rPr>
                <w:rFonts w:ascii="Times New Roman" w:hAnsi="Times New Roman" w:eastAsia="方正仿宋_GBK"/>
                <w:szCs w:val="28"/>
              </w:rPr>
              <w:t>成项目建设</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如东县河口镇人民政府</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2</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管网修复项目</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双甸镇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管网修复</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对现有污水管网进行修复</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如泰运河/曙光电灌站</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如东县双甸镇人民政府</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3</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新建及老旧管网排查整治</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雨水污水管道清淤</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曹埠工业园5公里雨水污水管道清淤、排查</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25</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前期</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4</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新建及老旧管网排查整治</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曹埠镇</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堤南社区雨污水管线探测</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400户排查，管网溯源14公里</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九圩港/孙窑大桥</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40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在建</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2022.4</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如东县曹埠镇人民政府</w:t>
            </w:r>
          </w:p>
        </w:tc>
      </w:tr>
      <w:tr>
        <w:tblPrEx>
          <w:tblCellMar>
            <w:top w:w="0" w:type="dxa"/>
            <w:left w:w="108" w:type="dxa"/>
            <w:bottom w:w="0" w:type="dxa"/>
            <w:right w:w="108" w:type="dxa"/>
          </w:tblCellMar>
        </w:tblPrEx>
        <w:trPr>
          <w:trHeight w:val="1471"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olor w:val="000000"/>
                <w:szCs w:val="28"/>
              </w:rPr>
            </w:pPr>
            <w:r>
              <w:rPr>
                <w:rFonts w:ascii="Times New Roman" w:hAnsi="Times New Roman" w:eastAsia="方正仿宋_GBK"/>
                <w:color w:val="000000"/>
                <w:szCs w:val="28"/>
              </w:rPr>
              <w:t>5</w:t>
            </w:r>
          </w:p>
        </w:tc>
        <w:tc>
          <w:tcPr>
            <w:tcW w:w="12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新建及老旧管网排查整治</w:t>
            </w:r>
          </w:p>
        </w:tc>
        <w:tc>
          <w:tcPr>
            <w:tcW w:w="9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城中街道</w:t>
            </w:r>
          </w:p>
        </w:tc>
        <w:tc>
          <w:tcPr>
            <w:tcW w:w="13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沿河居民小区内管网排查</w:t>
            </w:r>
          </w:p>
        </w:tc>
        <w:tc>
          <w:tcPr>
            <w:tcW w:w="21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如泰运河、掘坎河、掘苴河建成区范围内沿河居民小区内管网排查</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如泰运河控制单元</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如泰运河/东安闸桥西</w:t>
            </w:r>
          </w:p>
        </w:tc>
        <w:tc>
          <w:tcPr>
            <w:tcW w:w="9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100</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未启动</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2022.12</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方正仿宋_GBK"/>
                <w:szCs w:val="28"/>
              </w:rPr>
            </w:pPr>
            <w:r>
              <w:rPr>
                <w:rFonts w:ascii="Times New Roman" w:hAnsi="Times New Roman" w:eastAsia="方正仿宋_GBK"/>
                <w:szCs w:val="28"/>
              </w:rPr>
              <w:t>如东县城中街道办事处</w:t>
            </w:r>
          </w:p>
        </w:tc>
      </w:tr>
    </w:tbl>
    <w:p>
      <w:pPr>
        <w:spacing w:line="500" w:lineRule="exact"/>
        <w:rPr>
          <w:rFonts w:ascii="Times New Roman" w:hAnsi="Times New Roman"/>
          <w:sz w:val="24"/>
          <w:szCs w:val="28"/>
        </w:rPr>
      </w:pPr>
    </w:p>
    <w:p>
      <w:pPr>
        <w:spacing w:line="560" w:lineRule="exact"/>
        <w:rPr>
          <w:rFonts w:ascii="Times New Roman" w:hAnsi="Times New Roman"/>
        </w:rPr>
        <w:sectPr>
          <w:pgSz w:w="16838" w:h="11906" w:orient="landscape"/>
          <w:pgMar w:top="2098" w:right="1531" w:bottom="1758" w:left="1531" w:header="851" w:footer="1474" w:gutter="0"/>
          <w:pgNumType w:fmt="numberInDash"/>
          <w:cols w:space="425" w:num="1"/>
          <w:docGrid w:linePitch="312" w:charSpace="0"/>
        </w:sectPr>
      </w:pP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如东县2022年大气污染防治工作计划</w:t>
      </w:r>
    </w:p>
    <w:p>
      <w:pPr>
        <w:adjustRightInd w:val="0"/>
        <w:snapToGrid w:val="0"/>
        <w:spacing w:line="590" w:lineRule="exact"/>
        <w:ind w:firstLine="640" w:firstLineChars="200"/>
        <w:rPr>
          <w:rFonts w:ascii="Times New Roman" w:hAnsi="Times New Roman" w:eastAsia="方正仿宋_GBK"/>
          <w:kern w:val="0"/>
          <w:sz w:val="32"/>
          <w:szCs w:val="32"/>
        </w:rPr>
      </w:pP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为落实《中共中央 国务院关于深入打好污染防治攻坚战的意见》《中共江苏省委 江苏省人民政府关于深入打好污染防治攻坚战的实施意见》《中共南通市委 南通市人民政府关于深入打好污染防治攻坚战的实施意见》精神，根据《南通市2022年大气污染防治工作计划》要求，深入打好蓝天保卫战，持续改善全县环境空气质量，制定本工作计划。</w:t>
      </w:r>
    </w:p>
    <w:p>
      <w:pPr>
        <w:pStyle w:val="21"/>
        <w:snapToGrid w:val="0"/>
        <w:spacing w:line="590" w:lineRule="exact"/>
        <w:ind w:firstLine="640" w:firstLineChars="20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一、总体要求</w:t>
      </w:r>
    </w:p>
    <w:p>
      <w:pPr>
        <w:adjustRightInd w:val="0"/>
        <w:snapToGrid w:val="0"/>
        <w:spacing w:line="59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（一）指导思想</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以习近平新时代中国特色社会主义思想为指导，全面贯彻党的十九大和十九届历次全会精神，全面落实习近平生态文明思想和习近平总书记对江苏工作的重要指示要求，以实现减污降碳协同增效为总抓手，以改善生态环境质量为核心，坚持精准治污、科学治污、依法治污，坚持系统思维，推进源头治理，保持力度、延伸深度、拓宽广度，以更高标准打好蓝天保卫战，以高水平保护推动高质量发展、创造高品质生活。</w:t>
      </w:r>
    </w:p>
    <w:p>
      <w:pPr>
        <w:adjustRightInd w:val="0"/>
        <w:snapToGrid w:val="0"/>
        <w:spacing w:line="59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（二）空气质量改善目标</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全县PM</w:t>
      </w:r>
      <w:r>
        <w:rPr>
          <w:rFonts w:ascii="Times New Roman" w:hAnsi="Times New Roman" w:eastAsia="仿宋_GB2312"/>
          <w:kern w:val="0"/>
          <w:sz w:val="32"/>
          <w:szCs w:val="32"/>
          <w:vertAlign w:val="subscript"/>
        </w:rPr>
        <w:t>2.5</w:t>
      </w:r>
      <w:r>
        <w:rPr>
          <w:rFonts w:ascii="Times New Roman" w:hAnsi="Times New Roman" w:eastAsia="仿宋_GB2312"/>
          <w:kern w:val="0"/>
          <w:sz w:val="32"/>
          <w:szCs w:val="32"/>
        </w:rPr>
        <w:t>年均浓度不高于24微克/立方米，全年优良天数比率达到91.0%。降尘量不高于2.1吨/月·平方公里。</w:t>
      </w:r>
    </w:p>
    <w:p>
      <w:pPr>
        <w:pStyle w:val="21"/>
        <w:snapToGrid w:val="0"/>
        <w:spacing w:line="590" w:lineRule="exact"/>
        <w:ind w:firstLine="640" w:firstLineChars="20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二、重点任务</w:t>
      </w:r>
    </w:p>
    <w:p>
      <w:pPr>
        <w:widowControl/>
        <w:adjustRightInd w:val="0"/>
        <w:snapToGrid w:val="0"/>
        <w:spacing w:line="59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（一）优化产业结构，推进产业绿色升级</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w:t>
      </w:r>
      <w:r>
        <w:rPr>
          <w:rFonts w:ascii="Times New Roman" w:hAnsi="Times New Roman" w:eastAsia="仿宋_GB2312"/>
          <w:b/>
          <w:bCs/>
          <w:sz w:val="32"/>
          <w:szCs w:val="32"/>
        </w:rPr>
        <w:t>．</w:t>
      </w:r>
      <w:r>
        <w:rPr>
          <w:rFonts w:ascii="Times New Roman" w:hAnsi="Times New Roman" w:eastAsia="仿宋_GB2312"/>
          <w:b/>
          <w:bCs/>
          <w:kern w:val="0"/>
          <w:sz w:val="32"/>
          <w:szCs w:val="32"/>
        </w:rPr>
        <w:t>坚决遏制“两高”项目盲目发展。</w:t>
      </w:r>
      <w:r>
        <w:rPr>
          <w:rFonts w:ascii="Times New Roman" w:hAnsi="Times New Roman" w:eastAsia="仿宋_GB2312"/>
          <w:kern w:val="0"/>
          <w:sz w:val="32"/>
          <w:szCs w:val="32"/>
        </w:rPr>
        <w:t>对不符合要求的“两高”项目，坚决停批停建。新建、改建、扩建“两高”项目须符合生态环境保护法律法规和相关法定规划，满足重点污染物排放总量控制、碳排放达峰目标、生态环境准入清单、相关规划环评和相应行业建设项目环境准入条件、环评文件审批原则要求。对“两高”项目实行清单管理、分类处置、动态监控。〔县发改委牵头，如东生态环境局等配合。各镇（区、街道）负责落实。以下均需各镇（区、街道）落实，不再列出〕</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2．依法依规淘汰落后产能和化解过剩产能。</w:t>
      </w:r>
      <w:bookmarkStart w:id="0" w:name="_Hlk529883844"/>
      <w:r>
        <w:rPr>
          <w:rFonts w:ascii="Times New Roman" w:hAnsi="Times New Roman" w:eastAsia="仿宋_GB2312"/>
          <w:kern w:val="0"/>
          <w:sz w:val="32"/>
          <w:szCs w:val="32"/>
        </w:rPr>
        <w:t>强化资源要素差别化配置政策，推动低端产业、高排放产业加速退出。继续深化推动化工行业安全环保整治。持续开展“散乱污”企业专项整治，并建立动态清零机制。推动全县完成产业结构优化调整项目6项。（县发改委、市管局、如东生态环境局等按职责分工负责）</w:t>
      </w:r>
      <w:bookmarkEnd w:id="0"/>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3．推进绿色产业升级转型。</w:t>
      </w:r>
      <w:r>
        <w:rPr>
          <w:rFonts w:ascii="Times New Roman" w:hAnsi="Times New Roman" w:eastAsia="仿宋_GB2312"/>
          <w:kern w:val="0"/>
          <w:sz w:val="32"/>
          <w:szCs w:val="32"/>
        </w:rPr>
        <w:t>完善“三线一单”生态环境分区管控体系，落实以环评制度为主体的源头预防体系，严格规划环评审查和项目环评准入。推动化工产业结构转型升级。推动已纳入2022年第一批强制性清洁生产审核名单的企业实施清洁生产审核，推进工业、农业、建筑业、服务业、交通运输业等领域实施清洁生产改造。（县发改委、如东生态环境局等按职责分工负责）</w:t>
      </w:r>
    </w:p>
    <w:p>
      <w:pPr>
        <w:adjustRightInd w:val="0"/>
        <w:snapToGrid w:val="0"/>
        <w:spacing w:line="59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（二）优化能源结构，推进能源低碳发展</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4</w:t>
      </w:r>
      <w:r>
        <w:rPr>
          <w:rFonts w:ascii="Times New Roman" w:hAnsi="Times New Roman" w:eastAsia="仿宋_GB2312"/>
          <w:b/>
          <w:bCs/>
          <w:sz w:val="32"/>
          <w:szCs w:val="32"/>
        </w:rPr>
        <w:t>．</w:t>
      </w:r>
      <w:r>
        <w:rPr>
          <w:rFonts w:ascii="Times New Roman" w:hAnsi="Times New Roman" w:eastAsia="仿宋_GB2312"/>
          <w:b/>
          <w:bCs/>
          <w:kern w:val="0"/>
          <w:sz w:val="32"/>
          <w:szCs w:val="32"/>
        </w:rPr>
        <w:t>推进能源结构优化。</w:t>
      </w:r>
      <w:r>
        <w:rPr>
          <w:rFonts w:ascii="Times New Roman" w:hAnsi="Times New Roman" w:eastAsia="仿宋_GB2312"/>
          <w:kern w:val="0"/>
          <w:sz w:val="32"/>
          <w:szCs w:val="32"/>
        </w:rPr>
        <w:t>加快推进现役煤电机组“三改联动”，加大散煤治理力度，建设“无散煤”城市，实施散煤动态清零。推动全县完成能源结构调整项目6项。（县发改委牵头，县市管局、如东生态环境局等配合）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5．大力发展新能源和清洁能源。</w:t>
      </w:r>
      <w:r>
        <w:rPr>
          <w:rFonts w:ascii="Times New Roman" w:hAnsi="Times New Roman" w:eastAsia="仿宋_GB2312"/>
          <w:kern w:val="0"/>
          <w:sz w:val="32"/>
          <w:szCs w:val="32"/>
        </w:rPr>
        <w:t>扩大分布式光伏发电规模，推进太阳能多形式、大范围、高效率转化应用。进一步发展海上风电，保持海上风电全国领先水平，科学规划生物质直燃发电。推进“绿屋顶”建设，配合上级实施屋顶分布式光伏开发试点。（县发改委牵头，县住建局、如东生态环境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6</w:t>
      </w:r>
      <w:r>
        <w:rPr>
          <w:rFonts w:ascii="Times New Roman" w:hAnsi="Times New Roman" w:eastAsia="仿宋_GB2312"/>
          <w:b/>
          <w:bCs/>
          <w:sz w:val="32"/>
          <w:szCs w:val="32"/>
        </w:rPr>
        <w:t>．</w:t>
      </w:r>
      <w:r>
        <w:rPr>
          <w:rFonts w:ascii="Times New Roman" w:hAnsi="Times New Roman" w:eastAsia="仿宋_GB2312"/>
          <w:b/>
          <w:bCs/>
          <w:kern w:val="0"/>
          <w:sz w:val="32"/>
          <w:szCs w:val="32"/>
        </w:rPr>
        <w:t>推进工业炉窑清洁能源替代。</w:t>
      </w:r>
      <w:r>
        <w:rPr>
          <w:rFonts w:ascii="Times New Roman" w:hAnsi="Times New Roman" w:eastAsia="仿宋_GB2312"/>
          <w:kern w:val="0"/>
          <w:sz w:val="32"/>
          <w:szCs w:val="32"/>
        </w:rPr>
        <w:t>推进现有使用高污染燃料的工业炉窑改用工业余热、电能、天然气等；使用煤气发生炉的企业采用清洁能源替代，或者采取园区（集中区）集中供气，全面淘汰间歇式固定床煤气发生炉。（县发改委、如东生态环境局等按职责分工负责，市管局等配合）</w:t>
      </w:r>
    </w:p>
    <w:p>
      <w:pPr>
        <w:adjustRightInd w:val="0"/>
        <w:snapToGrid w:val="0"/>
        <w:spacing w:line="59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（三）优化交通结构，发展绿色交通体系</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7．加快形成绿色低碳运输方式。</w:t>
      </w:r>
      <w:r>
        <w:rPr>
          <w:rFonts w:ascii="Times New Roman" w:hAnsi="Times New Roman" w:eastAsia="仿宋_GB2312"/>
          <w:kern w:val="0"/>
          <w:sz w:val="32"/>
          <w:szCs w:val="32"/>
        </w:rPr>
        <w:t>加大货物运输结构调整力度，大力提高铁路、管道、水运等清洁运能，加快大宗货物和中长途货物运输“公转铁”“公转水”。实施多式联运提升行动，深入推进多式联运示范工程，重点推进集装箱公铁、铁水联运发展。港口煤炭、矿石、焦炭等物资采用铁路、水路、封闭式皮带廊道、新能源和清洁能源车辆等绿色运输方式。（县交通局、如东海事处牵头，县发改委、如东生态环境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8．实施“绿色车轮”行动。</w:t>
      </w:r>
      <w:r>
        <w:rPr>
          <w:rFonts w:ascii="Times New Roman" w:hAnsi="Times New Roman" w:eastAsia="仿宋_GB2312"/>
          <w:kern w:val="0"/>
          <w:sz w:val="32"/>
          <w:szCs w:val="32"/>
        </w:rPr>
        <w:t>推进新能源汽车消费替代，加快推进公共服务领域和政府机关优先使用新能源汽车，原则上城市建成区新增或替换的公交车全部采用新能源和清洁能源车辆，邮政等公共领域新增或替换的车辆全面采用新能源汽车或清洁能源汽车，环卫领域车辆逐步推进提高新能源汽车或清洁能源汽车占比。2022年，全县推广新能源汽车60辆以上标准车。加快新能源非道路移动机械推广使用，港口新增和更换的作业机械以及港口辅助作业船舶主要采用清洁能源或新能源。加快构建便利高效、适度超前的充换电网络体系，在物流园、产业园、工业园、大型商业购物中心、农贸批发市场等物流集散地加快建设集中式充电桩和快速充电桩，满足电动汽车充换电需求及新能源汽车城际出行需求。统筹谋划氢能及燃料电池汽车产业发展。（县发改委、交通局、机关事务管理局、邮政管理局、如东生态环境局、如东海事处等按职责分工负责）</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9</w:t>
      </w:r>
      <w:r>
        <w:rPr>
          <w:rFonts w:ascii="Times New Roman" w:hAnsi="Times New Roman" w:eastAsia="仿宋_GB2312"/>
          <w:b/>
          <w:bCs/>
          <w:sz w:val="32"/>
          <w:szCs w:val="32"/>
        </w:rPr>
        <w:t>．</w:t>
      </w:r>
      <w:r>
        <w:rPr>
          <w:rFonts w:ascii="Times New Roman" w:hAnsi="Times New Roman" w:eastAsia="仿宋_GB2312"/>
          <w:b/>
          <w:bCs/>
          <w:kern w:val="0"/>
          <w:sz w:val="32"/>
          <w:szCs w:val="32"/>
        </w:rPr>
        <w:t>加大船舶更新升级改造力度。</w:t>
      </w:r>
      <w:r>
        <w:rPr>
          <w:rFonts w:ascii="Times New Roman" w:hAnsi="Times New Roman" w:eastAsia="仿宋_GB2312"/>
          <w:kern w:val="0"/>
          <w:sz w:val="32"/>
          <w:szCs w:val="32"/>
        </w:rPr>
        <w:t>逐步推广绿色船舶，推进内河船型标准化。严格执行船舶强制报废制度，鼓励淘汰使用20年以上的内河航运船舶，积极推进现有油船的油气回收设施改造。开展内河LNG船舶推广应用，加快LNG加注站建设和运行。（县交通局、如东海事处等按职责分工负责）</w:t>
      </w:r>
    </w:p>
    <w:p>
      <w:pPr>
        <w:adjustRightInd w:val="0"/>
        <w:snapToGrid w:val="0"/>
        <w:spacing w:line="59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（四）强化协同减排，降低VOCs和氮氧化物排放</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10．大力推进低（无）VOCs含量清洁原料替代。</w:t>
      </w:r>
      <w:r>
        <w:rPr>
          <w:rFonts w:ascii="Times New Roman" w:hAnsi="Times New Roman" w:eastAsia="仿宋_GB2312"/>
          <w:kern w:val="0"/>
          <w:sz w:val="32"/>
          <w:szCs w:val="32"/>
        </w:rPr>
        <w:t>对照产品质量标准，以石化、化工、涂装、医药、包装印刷等行业领域为重点，加大对各类涂料、油墨、胶粘剂、清洗剂等生产、销售、使用环节的监督管理，实施产品和原辅材料源头替代工程。推动包装印刷、家具、机械制造等行业全面实施低（无）VOCs含量的涂料、油墨、胶粘剂等原辅材料的源头替代。完成水性涂料、粉末涂料等清洁原料替代项目26个，创建示范企业2家。（县发改委牵头，县市管局、如东生态环境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11</w:t>
      </w:r>
      <w:r>
        <w:rPr>
          <w:rFonts w:ascii="Times New Roman" w:hAnsi="Times New Roman" w:eastAsia="仿宋_GB2312"/>
          <w:b/>
          <w:bCs/>
          <w:sz w:val="32"/>
          <w:szCs w:val="32"/>
        </w:rPr>
        <w:t>．</w:t>
      </w:r>
      <w:r>
        <w:rPr>
          <w:rFonts w:ascii="Times New Roman" w:hAnsi="Times New Roman" w:eastAsia="仿宋_GB2312"/>
          <w:b/>
          <w:bCs/>
          <w:kern w:val="0"/>
          <w:sz w:val="32"/>
          <w:szCs w:val="32"/>
        </w:rPr>
        <w:t>强化VOCs全流程、全环节综合治理。</w:t>
      </w:r>
      <w:r>
        <w:rPr>
          <w:rFonts w:ascii="Times New Roman" w:hAnsi="Times New Roman" w:eastAsia="仿宋_GB2312"/>
          <w:kern w:val="0"/>
          <w:sz w:val="32"/>
          <w:szCs w:val="32"/>
        </w:rPr>
        <w:t>在保证安全的前提下，加强含VOCs物料全方位、全链条、全环节密闭管理，做好VOCs物料储存、转移和输送、设备与管线组件泄露、敞开液面逸散以及工艺过程等无组织排放环节的管理。推动化工、医药、涂装等重点行业实施生产装备密闭化、连续化改造。在4月底前，如东县洋口化工园区所有化工生产企业及其他重点VOCs排放企业开展废气收集自查；6月底前，重点企业严格按要求开展泄漏检测与修复（LDAR），全面提升治理设施“三率”，配合市局对泄压设备、阀、泵等动密封点开展随机抽测，采用红外成像仪对不可达密封点进行泄漏检测。对达不到要求的VOCs收集、治理设施进行更换或升级改造，确保稳定达标排放；对治理难度大、单一治理工艺难以稳定达标的，推进采用多种技术的组合工艺治理。推动化工、工业涂装、包装印刷、纺织印染等行业取消非必要的废气排放旁路。因安全生产等原因必须保留的，应将保留旁路清单报属地政府。非紧急情况下旁路保持关闭，并通过铅封、安装自动监控设施（如流量计、温度计、压差计、阀门开关、视频监控等）加强监管，开启后应做好台账记录并及时向当地生态环境部门报告。加强非正常工况废气排放控制，引导石化、化工、煤化工、制药、农药等行业企业合理安排停检修计划，减少非正常工况VOCs排放；加强启停机期间以及清洗、退料、吹扫、放空、晾干等环节VOCs无组织排放控制，确保满足安全生产和污染排放标准要求。</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鼓励化工、浸胶手套、工程机械、家具、机械制造、铸造等行业企业开展废气治理提标改造，在确保安全有效的前提下，采用催化燃烧等更高效的废气治理设施，使用废气活性炭吸附设施的企业，要使用高碘值活性炭（碘值不低于800mg/g）。全县完成VOCs综合治理项目70个，挥发性有机物无组织排放治理项目（储罐治理）250个。督促38家第二批挥发性有机物重点监管企业高质量编制并实施“一企一策”方案，确保减排效果。（如东生态环境局、县发改委、行政审批局、应急管理局等按职责分工负责）</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12</w:t>
      </w:r>
      <w:r>
        <w:rPr>
          <w:rFonts w:ascii="Times New Roman" w:hAnsi="Times New Roman" w:eastAsia="仿宋_GB2312"/>
          <w:b/>
          <w:bCs/>
          <w:sz w:val="32"/>
          <w:szCs w:val="32"/>
        </w:rPr>
        <w:t>．</w:t>
      </w:r>
      <w:r>
        <w:rPr>
          <w:rFonts w:ascii="Times New Roman" w:hAnsi="Times New Roman" w:eastAsia="仿宋_GB2312"/>
          <w:b/>
          <w:bCs/>
          <w:kern w:val="0"/>
          <w:sz w:val="32"/>
          <w:szCs w:val="32"/>
        </w:rPr>
        <w:t>深化工业园区综合治理。</w:t>
      </w:r>
      <w:r>
        <w:rPr>
          <w:rFonts w:ascii="Times New Roman" w:hAnsi="Times New Roman" w:eastAsia="仿宋_GB2312"/>
          <w:kern w:val="0"/>
          <w:sz w:val="32"/>
          <w:szCs w:val="32"/>
        </w:rPr>
        <w:t>推进涉VOCs排放的重点工业园区废气专项治理，持续提升VOCs治理水平，洋口化工园根据上级要求制定VOCs综合治理计划并组织实施。强化工业园区的环境空气质量监测和污染源监测监控，开展工业园区（集中区）污染物排放限值限量管理。（如东生态环境局牵头，县发改委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13</w:t>
      </w:r>
      <w:r>
        <w:rPr>
          <w:rFonts w:ascii="Times New Roman" w:hAnsi="Times New Roman" w:eastAsia="仿宋_GB2312"/>
          <w:b/>
          <w:bCs/>
          <w:sz w:val="32"/>
          <w:szCs w:val="32"/>
        </w:rPr>
        <w:t>．</w:t>
      </w:r>
      <w:r>
        <w:rPr>
          <w:rFonts w:ascii="Times New Roman" w:hAnsi="Times New Roman" w:eastAsia="仿宋_GB2312"/>
          <w:b/>
          <w:bCs/>
          <w:kern w:val="0"/>
          <w:sz w:val="32"/>
          <w:szCs w:val="32"/>
        </w:rPr>
        <w:t>推进重点行业污染深度治理。</w:t>
      </w:r>
      <w:r>
        <w:rPr>
          <w:rFonts w:ascii="Times New Roman" w:hAnsi="Times New Roman" w:eastAsia="仿宋_GB2312"/>
          <w:kern w:val="0"/>
          <w:sz w:val="32"/>
          <w:szCs w:val="32"/>
        </w:rPr>
        <w:t>开展火电企业超低排放改造“回头看”，加大对燃煤堆场检查频次。推进城市建成区生物质锅炉超低排放改造，其他地区生物质锅炉实施深度治理；已完成改造或治理的开展“回头看”，督促巩固提升。推动化工、铸造等重点行业和锅炉、炉窑等重点设施企业完成超低排放改造或深度治理、清洁能源替代等工作30项。建设减排示范项目完成1个氮氧化物深度减排示范项目。（如东生态环境局、县发改委按职责分工负责）</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14</w:t>
      </w:r>
      <w:r>
        <w:rPr>
          <w:rFonts w:ascii="Times New Roman" w:hAnsi="Times New Roman" w:eastAsia="仿宋_GB2312"/>
          <w:b/>
          <w:bCs/>
          <w:sz w:val="32"/>
          <w:szCs w:val="32"/>
        </w:rPr>
        <w:t>．</w:t>
      </w:r>
      <w:r>
        <w:rPr>
          <w:rFonts w:ascii="Times New Roman" w:hAnsi="Times New Roman" w:eastAsia="仿宋_GB2312"/>
          <w:b/>
          <w:bCs/>
          <w:kern w:val="0"/>
          <w:sz w:val="32"/>
          <w:szCs w:val="32"/>
        </w:rPr>
        <w:t>深挖移动源减排潜力。</w:t>
      </w:r>
      <w:r>
        <w:rPr>
          <w:rFonts w:ascii="Times New Roman" w:hAnsi="Times New Roman" w:eastAsia="仿宋_GB2312"/>
          <w:kern w:val="0"/>
          <w:sz w:val="32"/>
          <w:szCs w:val="32"/>
        </w:rPr>
        <w:t>统筹“车、路、油”综合治理，加大柴油货车监管力度。加强多部门联合执法，完善生态环境部门监测取证、公安交管部门实施处罚、交通运输部门监督维修的联合监管模式。推动车辆超标排放信息跨区域、跨部门共享和执法联动。对机动车排放检验机构实施全覆盖监督检查，依法依规打击弄虚作假的违法行为。推动遥感监测发现的超标车辆，经人工审核后实施强制检验。县公安部门在9月底前划定高排放柴油车限行区域。县交通部门继续实行国三及以下柴油货车提前淘汰补贴政策，2022年全县淘汰国三及以下排放标准柴油货车1210辆。（县交通运输局、公安局、如东生态环境局牵头，县市管局、商务局、财政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稳步提高柴油车监督抽测排放合格率，基本消除冒黑烟现象。重点加强柴油货车路检路查，以及集中使用和停放地的入户抽测。全县全年路检路查柴油车240辆·次以上，入户抽测48辆·次以上，秋冬季期间监督抽测柴油车数量（包括遥测数量）不低于全县柴油车保有量的80%，对定期排放检验或日常监督抽测发现的超标车、运营5年以上的老旧柴油车年度核查率达到90%以上。对物流园、工业园、货物集散地等车辆集中停放地，以及物流货运、长途客运、公交、环卫、邮政、旅游等重点单位每月至少开展一次入户监督抽测。全面实施汽车排放检测与维护（I/M）制度和汽车排放召回制度，加大机动车尾气检测机构日常监管力度，严厉打击检测阶段临时安装三元催化器等数据弄虚作假的环境违法行为。（如东生态环境局牵头，县公安局、城管局、交通运输局、邮政管理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加强船舶污染防治。加强新能源和清洁能源船舶推广应用，加强新能源、清洁能源续航保障及绿色能源供给能力。内河和沿海直达船舶应使用硫含量不大于10毫克/千克的船用燃油。推动如东籍船舶受电设施改造，推进船舶靠港使用岸电常态化。加快已建岸电设施的检测和改造升级工作，提升岸电服务水平，推动岸电便利化使用。充分发挥船舶尾气排放遥感监测系统效能，建立和强化运维保障机制。（县交通运输局、如东海事处牵头，县发改委、如东生态环境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加强非道路移动机械污染防治。按要求实施国家第四阶段非道路移动机械排放标准，对非道路移动机械生产、进口、销售企业实施环保达标监督检查。持续推进非道路移动机械的摸底调查和编码登记工作，建立多部门协同配合的工程机械监管制度，推进编码登记、排放检测、超标处罚等全链条管理。禁止高排放非道路移动机械在禁止使用高排放非道路移动机械区域内作业。逐步推进在禁止使用高排放非道路移动机械区域内施工的移动机械达到国Ⅲ及以上标准。组织开展专项执法行动，在掘港街道、城中街道、经济开发区、沿海经济开发区等地区先行试点国一及以下非道路移动机械淘汰工作，力争更新淘汰国一及以下非道路移动机械100台。推动2022年重点企业、物流园区、重点区域建设工地使用新能源非道路移动机械。建立生态环境、住房和城乡建设、交通运输（含铁路）、市场监督管理等多部门的联合执法机制，强化工程机械监督抽测，全年监督抽测工程机械130台·次以上，每年对重点区域内施工工地、工业企业所有非道路移动机械至少开展1次尾气抽测，严查超标排放行为。依法依规禁止超标排放工程机械使用，推进消除冒黑烟现象。（如东生态环境局、县住建局、交通运输局、市管局、农业农村局、水务局等按职责分工负责）</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15</w:t>
      </w:r>
      <w:r>
        <w:rPr>
          <w:rFonts w:ascii="Times New Roman" w:hAnsi="Times New Roman" w:eastAsia="仿宋_GB2312"/>
          <w:b/>
          <w:bCs/>
          <w:sz w:val="32"/>
          <w:szCs w:val="32"/>
        </w:rPr>
        <w:t>．</w:t>
      </w:r>
      <w:r>
        <w:rPr>
          <w:rFonts w:ascii="Times New Roman" w:hAnsi="Times New Roman" w:eastAsia="仿宋_GB2312"/>
          <w:b/>
          <w:bCs/>
          <w:kern w:val="0"/>
          <w:sz w:val="32"/>
          <w:szCs w:val="32"/>
        </w:rPr>
        <w:t>强化油品储运销管理。</w:t>
      </w:r>
      <w:r>
        <w:rPr>
          <w:rFonts w:ascii="Times New Roman" w:hAnsi="Times New Roman" w:eastAsia="仿宋_GB2312"/>
          <w:kern w:val="0"/>
          <w:sz w:val="32"/>
          <w:szCs w:val="32"/>
        </w:rPr>
        <w:t>坚决打击非标油品，对柴油进口、生产、仓储、销售、运输、使用等全环节加强监管，全面清理整顿无证无照的自建油罐、流动加油车（船）和黑加油站点。加大柴油使用环节检查力度，全年对车用柴油、尿素抽测不少15次，开展船舶油品抽测不少于120次，对发现的非标油问题线索进行追溯，严厉追究相关生产、销售、运输者主体责任。（县市管局牵头，如东生态环境局、县商务局、公安局、交通运输局、如东海事处、应急管理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配合上级建立健全车用油品、车用尿素、船用燃料油全生命周期监管档案管理制度，规范油气回收设施运行，强化加油枪气液比、系统密闭性及管线液阻等检查，确保油气回收系统正常运行。汽油年销售量2000吨及以上加油站开展三次油气回收改造，全县共完成8座。（县商务局牵头，如东生态环境局、县交通运输局、应急管理局、市管局、行政审批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16</w:t>
      </w:r>
      <w:r>
        <w:rPr>
          <w:rFonts w:ascii="Times New Roman" w:hAnsi="Times New Roman" w:eastAsia="仿宋_GB2312"/>
          <w:b/>
          <w:bCs/>
          <w:sz w:val="32"/>
          <w:szCs w:val="32"/>
        </w:rPr>
        <w:t>．</w:t>
      </w:r>
      <w:r>
        <w:rPr>
          <w:rFonts w:ascii="Times New Roman" w:hAnsi="Times New Roman" w:eastAsia="仿宋_GB2312"/>
          <w:b/>
          <w:bCs/>
          <w:kern w:val="0"/>
          <w:sz w:val="32"/>
          <w:szCs w:val="32"/>
        </w:rPr>
        <w:t>稳步推进大气氨污染防控。</w:t>
      </w:r>
      <w:r>
        <w:rPr>
          <w:rFonts w:ascii="Times New Roman" w:hAnsi="Times New Roman" w:eastAsia="仿宋_GB2312"/>
          <w:kern w:val="0"/>
          <w:sz w:val="32"/>
          <w:szCs w:val="32"/>
        </w:rPr>
        <w:t>推进种养结合、农牧循环，推广畜禽粪污资源化利用和生态化治理技术，提高畜禽粪污综合利用率。积极推进测土配方施肥，优化肥料品种，改进施肥方式，提高机械施肥比例，强化氮肥深施，鼓励有机肥替代，减少肥料施用过程中气态氨的排放。强化工业源烟气脱硫脱硝氨逃逸防控。组织开展重点企业氨逃逸监督性监测。（县农业农村局、如东生态环境局按职责分工负责）</w:t>
      </w:r>
    </w:p>
    <w:p>
      <w:pPr>
        <w:pStyle w:val="5"/>
        <w:adjustRightInd w:val="0"/>
        <w:snapToGrid w:val="0"/>
        <w:spacing w:line="590" w:lineRule="exact"/>
        <w:ind w:left="105" w:leftChars="50" w:firstLine="627" w:firstLineChars="196"/>
        <w:jc w:val="both"/>
        <w:rPr>
          <w:rFonts w:eastAsia="楷体_GB2312"/>
          <w:kern w:val="0"/>
          <w:sz w:val="32"/>
          <w:szCs w:val="32"/>
        </w:rPr>
      </w:pPr>
      <w:r>
        <w:rPr>
          <w:rFonts w:eastAsia="楷体_GB2312"/>
          <w:kern w:val="0"/>
          <w:sz w:val="32"/>
          <w:szCs w:val="32"/>
        </w:rPr>
        <w:t>（五）深化系统治污，坚持问题导向、综合施策</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17</w:t>
      </w:r>
      <w:r>
        <w:rPr>
          <w:rFonts w:ascii="Times New Roman" w:hAnsi="Times New Roman" w:eastAsia="仿宋_GB2312"/>
          <w:b/>
          <w:bCs/>
          <w:sz w:val="32"/>
          <w:szCs w:val="32"/>
        </w:rPr>
        <w:t>．</w:t>
      </w:r>
      <w:r>
        <w:rPr>
          <w:rFonts w:ascii="Times New Roman" w:hAnsi="Times New Roman" w:eastAsia="仿宋_GB2312"/>
          <w:b/>
          <w:bCs/>
          <w:kern w:val="0"/>
          <w:sz w:val="32"/>
          <w:szCs w:val="32"/>
        </w:rPr>
        <w:t>实施扬尘污染精细化治理。</w:t>
      </w:r>
      <w:r>
        <w:rPr>
          <w:rFonts w:ascii="Times New Roman" w:hAnsi="Times New Roman" w:eastAsia="仿宋_GB2312"/>
          <w:kern w:val="0"/>
          <w:sz w:val="32"/>
          <w:szCs w:val="32"/>
        </w:rPr>
        <w:t>加强扬尘污染防治，有效督促参建各方履行扬尘治理管控责任，不断加强“六类现场”扬尘污染治理工作力度，确保治理工作制度化、常态化。完成降尘量考核目标。（县住建局、城管局、住房服务中心、如东生态环境局等按职责分工负责）</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严格建设工地、拆卸现场、闲置地块、道路街巷、渣土运输、“两场一站”等“六类现场”和渣土运输监管。建立“六类现场”名单台账，每季度更新。按照扬尘管控“六个百分百”要求，强化“六类现场”扬尘管控，对违法施工企业依法依规实施处罚。按照《江苏省交通重点工程施工期生态环境保护管理办法（试行）》要求，强化交通建设工程施工期大气污染防治措施。强化渣土运输车辆全封闭运输管理，推进城市建成区使用新型环保智能渣土车。强化重点区域渣土车夜间运输集中整治，依法依规查处非法运输、抛撒滴漏、带泥上路、冒黑烟等行为。推进智慧工地建设，推动政府投资规模以上新建工程智慧工地全覆盖。依法实施施工扬尘环境保护税征收工作。（县住建局、城管局牵头，如东生态环境局、县交通运输局、公安局、水务局、税务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推动道路扬尘污染精细化管控，继续开展“清洁城市行动”，完善保洁作业质量标准，提高道路保洁水平。积极探索、创新保洁作业方式，提高机械化作业比率，城市建成区道路机械化清扫率达到90%以上。全面实施“以克论净”，完成市对县建成区主要道路积尘负荷考核任务（按照0.6克/平方米标准每月实施考核）。（县城管局牵头，县住房服务中心、住建局、如东生态环境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加强堆场、裸地扬尘污染控制。推动港口企业严格按照要求配套污染防治设施，对防尘抑尘设施进行提质增效或装卸工艺改造。对城市公共区域、长期未开发的建设裸地，以及废旧厂区、物流园、大型停车场等进行排查建档，并按要求采取覆盖、绿化等防尘措施。探索“零排放”工地建设，工地内全部使用新能源工程机械。（县城管局、交通运输局牵头，如东生态环境局、县自然资源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18</w:t>
      </w:r>
      <w:r>
        <w:rPr>
          <w:rFonts w:ascii="Times New Roman" w:hAnsi="Times New Roman" w:eastAsia="仿宋_GB2312"/>
          <w:b/>
          <w:bCs/>
          <w:sz w:val="32"/>
          <w:szCs w:val="32"/>
        </w:rPr>
        <w:t>．</w:t>
      </w:r>
      <w:r>
        <w:rPr>
          <w:rFonts w:ascii="Times New Roman" w:hAnsi="Times New Roman" w:eastAsia="仿宋_GB2312"/>
          <w:b/>
          <w:bCs/>
          <w:kern w:val="0"/>
          <w:sz w:val="32"/>
          <w:szCs w:val="32"/>
        </w:rPr>
        <w:t>加强秸秆综合利用、禁烧和烟花爆竹燃放管控。</w:t>
      </w:r>
      <w:r>
        <w:rPr>
          <w:rFonts w:ascii="Times New Roman" w:hAnsi="Times New Roman" w:eastAsia="仿宋_GB2312"/>
          <w:kern w:val="0"/>
          <w:sz w:val="32"/>
          <w:szCs w:val="32"/>
        </w:rPr>
        <w:t>按照“政府引导、市场运作、多元利用、疏堵结合、以疏为主”原则，统筹安排秸秆机械化还田和离田收储利用，因地制宜推进秸秆肥料化、饲料化、基料化、能源化、原料化利用，进一步完善农作物秸秆收储运体系。（县农业农村局牵头，如东生态环境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加强遥感、视频监控、无人机等手段在秸秆禁烧管理中的应用，实施“定点、定时、定人、定责”管控，建立全覆盖网格化监管体系。加强宣传引导，增强秸秆禁烧和综合利用的自觉性和主动性。（如东生态环境局牵头，县农业农村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强化烟花爆竹污染防治，进一步扩大全县烟花爆竹禁限放区域范围，在规定区域内禁止销售、燃放烟花爆竹，重点区域实施全时段禁放。禁止违规燃放烟花爆竹。（县公安局牵头，县应急管理局、市管局、行政审批局、如东生态环境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19</w:t>
      </w:r>
      <w:r>
        <w:rPr>
          <w:rFonts w:ascii="Times New Roman" w:hAnsi="Times New Roman" w:eastAsia="仿宋_GB2312"/>
          <w:b/>
          <w:bCs/>
          <w:sz w:val="32"/>
          <w:szCs w:val="32"/>
        </w:rPr>
        <w:t>．</w:t>
      </w:r>
      <w:r>
        <w:rPr>
          <w:rFonts w:ascii="Times New Roman" w:hAnsi="Times New Roman" w:eastAsia="仿宋_GB2312"/>
          <w:b/>
          <w:bCs/>
          <w:kern w:val="0"/>
          <w:sz w:val="32"/>
          <w:szCs w:val="32"/>
        </w:rPr>
        <w:t>开展餐饮油烟、恶臭异味专项治理。</w:t>
      </w:r>
      <w:r>
        <w:rPr>
          <w:rFonts w:ascii="Times New Roman" w:hAnsi="Times New Roman" w:eastAsia="仿宋_GB2312"/>
          <w:kern w:val="0"/>
          <w:sz w:val="32"/>
          <w:szCs w:val="32"/>
        </w:rPr>
        <w:t>提前贯彻落实江苏省餐饮业大气污染物排放标准（餐饮油烟浓度不高于1mg/m3，非甲烷总烃浓度不高于10mg/m3），率先在重点区域和重点餐饮单位组织实施，全县完成50家餐饮油烟治理。推动产生油烟或异味的餐饮服务单位全部安装油烟净化装置并定期维护。加强餐饮油烟执法监管，严格居民楼附近餐饮服务单位布局管理，对重点管控区域内面积100平方米以上餐饮店（无油烟排放餐饮店除外）和烧烤店以及城市综合体、美食街等区域的餐饮服务单位安装在线监控。根据《关于印发《2022年全市餐饮油烟治理工作要点》的通知》（通餐烟治办〔2022〕1号）要求，结合城市环境综合整治等工作，全县打造1个以上餐饮油烟治理示范项目。（县城管局牵头，如东生态环境局等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综合治理恶臭污染。推动化工、制药等行业结合挥发性有机物防治实施恶臭深度治理，加强垃圾、污水集中式污染处理设施重点环节恶臭防治。配合市局启动洋口化工园区无异味园区建设，建立化工园区“嗅辨+监测”异味溯源机制。（如东生态环境局牵头，县发改委、城管局、市管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20</w:t>
      </w:r>
      <w:r>
        <w:rPr>
          <w:rFonts w:ascii="Times New Roman" w:hAnsi="Times New Roman" w:eastAsia="仿宋_GB2312"/>
          <w:b/>
          <w:bCs/>
          <w:sz w:val="32"/>
          <w:szCs w:val="32"/>
        </w:rPr>
        <w:t>．</w:t>
      </w:r>
      <w:r>
        <w:rPr>
          <w:rFonts w:ascii="Times New Roman" w:hAnsi="Times New Roman" w:eastAsia="仿宋_GB2312"/>
          <w:b/>
          <w:bCs/>
          <w:kern w:val="0"/>
          <w:sz w:val="32"/>
          <w:szCs w:val="32"/>
        </w:rPr>
        <w:t>加强消耗臭氧层物质（ODS）淘汰管理。</w:t>
      </w:r>
      <w:r>
        <w:rPr>
          <w:rFonts w:ascii="Times New Roman" w:hAnsi="Times New Roman" w:eastAsia="仿宋_GB2312"/>
          <w:kern w:val="0"/>
          <w:sz w:val="32"/>
          <w:szCs w:val="32"/>
        </w:rPr>
        <w:t>根据《消耗臭氧层物质管理条例》做好监督管理工作，推动含氢氯氟烃（HCFCs）使用、销售、维修、回收、再生利用、销毁等企业排查、建档。（如东生态环境局牵头）</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21</w:t>
      </w:r>
      <w:r>
        <w:rPr>
          <w:rFonts w:ascii="Times New Roman" w:hAnsi="Times New Roman" w:eastAsia="仿宋_GB2312"/>
          <w:b/>
          <w:bCs/>
          <w:sz w:val="32"/>
          <w:szCs w:val="32"/>
        </w:rPr>
        <w:t>．</w:t>
      </w:r>
      <w:r>
        <w:rPr>
          <w:rFonts w:ascii="Times New Roman" w:hAnsi="Times New Roman" w:eastAsia="仿宋_GB2312"/>
          <w:b/>
          <w:bCs/>
          <w:kern w:val="0"/>
          <w:sz w:val="32"/>
          <w:szCs w:val="32"/>
        </w:rPr>
        <w:t>加强新污染物治理。</w:t>
      </w:r>
      <w:r>
        <w:rPr>
          <w:rFonts w:ascii="Times New Roman" w:hAnsi="Times New Roman" w:eastAsia="仿宋_GB2312"/>
          <w:kern w:val="0"/>
          <w:sz w:val="32"/>
          <w:szCs w:val="32"/>
        </w:rPr>
        <w:t>督促排放有毒有害大气污染物的企业事业单位，按照有关规定建设环境风险预警体系，对排放口和周边环境进行定期监测，评估环境风险，排查环境安全隐患，并采取有效措施防范环境风险。（如东生态环境局牵头，县各有关部门配合）</w:t>
      </w:r>
    </w:p>
    <w:p>
      <w:pPr>
        <w:pStyle w:val="5"/>
        <w:adjustRightInd w:val="0"/>
        <w:snapToGrid w:val="0"/>
        <w:spacing w:line="590" w:lineRule="exact"/>
        <w:ind w:left="105" w:leftChars="50" w:firstLine="627" w:firstLineChars="196"/>
        <w:jc w:val="both"/>
        <w:rPr>
          <w:rFonts w:eastAsia="楷体_GB2312"/>
          <w:kern w:val="0"/>
          <w:sz w:val="32"/>
          <w:szCs w:val="32"/>
        </w:rPr>
      </w:pPr>
      <w:r>
        <w:rPr>
          <w:rFonts w:eastAsia="楷体_GB2312"/>
          <w:kern w:val="0"/>
          <w:sz w:val="32"/>
          <w:szCs w:val="32"/>
        </w:rPr>
        <w:t>（六）完善机制，提升生态环境治理体系能力现代化水平</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22</w:t>
      </w:r>
      <w:r>
        <w:rPr>
          <w:rFonts w:ascii="Times New Roman" w:hAnsi="Times New Roman" w:eastAsia="仿宋_GB2312"/>
          <w:b/>
          <w:bCs/>
          <w:sz w:val="32"/>
          <w:szCs w:val="32"/>
        </w:rPr>
        <w:t>．</w:t>
      </w:r>
      <w:r>
        <w:rPr>
          <w:rFonts w:ascii="Times New Roman" w:hAnsi="Times New Roman" w:eastAsia="仿宋_GB2312"/>
          <w:b/>
          <w:bCs/>
          <w:kern w:val="0"/>
          <w:sz w:val="32"/>
          <w:szCs w:val="32"/>
        </w:rPr>
        <w:t>深化差别化管控机制。</w:t>
      </w:r>
      <w:r>
        <w:rPr>
          <w:rFonts w:ascii="Times New Roman" w:hAnsi="Times New Roman" w:eastAsia="仿宋_GB2312"/>
          <w:kern w:val="0"/>
          <w:sz w:val="32"/>
          <w:szCs w:val="32"/>
        </w:rPr>
        <w:t>按照重污染天气重点行业应急减排措施制定技术指南、《如东县重污染天气应急预案》等要求，开展重点行业绩效分级评价和应急减排清单修订工作。结合企业臭氧污染前体物排放特征，科学改进臭氧污染管控清单，对全部使用低（无）VOCs原辅材料、污染物臭氧生成潜势低的企业实施分类、分级管控。对清单内工业企业进行全面核实，应纳尽纳。加大空气质量异常管控豁免企业培育力度，提升企业治理水平。完善豁免企业清单动态调整机制，对弄虚作假、超标或违法违规排放的企业，及时移出豁免清单。（如东生态环境局牵头，县各有关部门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23</w:t>
      </w:r>
      <w:r>
        <w:rPr>
          <w:rFonts w:ascii="Times New Roman" w:hAnsi="Times New Roman" w:eastAsia="仿宋_GB2312"/>
          <w:b/>
          <w:bCs/>
          <w:sz w:val="32"/>
          <w:szCs w:val="32"/>
        </w:rPr>
        <w:t>．</w:t>
      </w:r>
      <w:r>
        <w:rPr>
          <w:rFonts w:ascii="Times New Roman" w:hAnsi="Times New Roman" w:eastAsia="仿宋_GB2312"/>
          <w:b/>
          <w:bCs/>
          <w:kern w:val="0"/>
          <w:sz w:val="32"/>
          <w:szCs w:val="32"/>
        </w:rPr>
        <w:t>做好重污染天气应对。</w:t>
      </w:r>
      <w:r>
        <w:rPr>
          <w:rFonts w:ascii="Times New Roman" w:hAnsi="Times New Roman" w:eastAsia="仿宋_GB2312"/>
          <w:kern w:val="0"/>
          <w:sz w:val="32"/>
          <w:szCs w:val="32"/>
        </w:rPr>
        <w:t>健全污染过程预警应急管理响应机制，及时响应上级预警指令。健全空气质量异常预警与应急管控机制，强化预报预警信息共享。综合运用排放源清单、污染源在线监控、用电量及工况监控、卫星遥感等数据，实现环境质量与污染源关联分析，推动溯源追踪与成因研判，形成快速应对指挥能力。做好重大活动期间空气质量保障。（如东生态环境局牵头，县发改委、气象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24</w:t>
      </w:r>
      <w:r>
        <w:rPr>
          <w:rFonts w:ascii="Times New Roman" w:hAnsi="Times New Roman" w:eastAsia="仿宋_GB2312"/>
          <w:b/>
          <w:bCs/>
          <w:sz w:val="32"/>
          <w:szCs w:val="32"/>
        </w:rPr>
        <w:t>．</w:t>
      </w:r>
      <w:r>
        <w:rPr>
          <w:rFonts w:ascii="Times New Roman" w:hAnsi="Times New Roman" w:eastAsia="仿宋_GB2312"/>
          <w:b/>
          <w:bCs/>
          <w:kern w:val="0"/>
          <w:sz w:val="32"/>
          <w:szCs w:val="32"/>
        </w:rPr>
        <w:t>提升大气环境监测监控能力。</w:t>
      </w:r>
      <w:r>
        <w:rPr>
          <w:rFonts w:ascii="Times New Roman" w:hAnsi="Times New Roman" w:eastAsia="仿宋_GB2312"/>
          <w:kern w:val="0"/>
          <w:sz w:val="32"/>
          <w:szCs w:val="32"/>
        </w:rPr>
        <w:t>完善大气环境监测监控系统，实现环境质量、污染源排放监测监控全覆盖，及时共享相关信息。推动重点工业园区（集中区）结合VOCs排放特征，安装VOCs自动监测设备，强化特征污染物监测监控。配合建设工业园区（集中区）污染物排放限值限量监测监控体系。强化VOCs监控平台使用与调度，配合组建全省光化学监测网。加强对环境监测和运维机构监管，配合建立环境监测数据质量保障责任体系，依法依规对篡改、伪造监测数据的机构和人员进行处理。（如东生态环境局牵头，县各有关部门配合）</w:t>
      </w:r>
    </w:p>
    <w:p>
      <w:pPr>
        <w:adjustRightInd w:val="0"/>
        <w:snapToGri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加强工业源监控，按规定将VOCs和氮氧化物的重点企业纳入重点排污单位名录。推进重点排污单位按要求安装大气污染物排放自动监控设备，强化数据质量管理与联网。加强移动源监控，推动建设覆盖交通干道、骨干高速公路、重要港口码头、航道，以及物流园区出入口的机动车、船舶尾气遥感遥测网络。推进工程机械安装实时定位和排放监控装置，健全排放监控平台。推进建材、化工等涉及大宗物料运输的重点企业及物流企业完善运输车辆的门禁和视频监控系统。（如东生态环境局、县交通局、住建局、如东海事处按职责分工负责）</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25</w:t>
      </w:r>
      <w:r>
        <w:rPr>
          <w:rFonts w:ascii="Times New Roman" w:hAnsi="Times New Roman" w:eastAsia="仿宋_GB2312"/>
          <w:b/>
          <w:bCs/>
          <w:sz w:val="32"/>
          <w:szCs w:val="32"/>
        </w:rPr>
        <w:t>．</w:t>
      </w:r>
      <w:r>
        <w:rPr>
          <w:rFonts w:ascii="Times New Roman" w:hAnsi="Times New Roman" w:eastAsia="仿宋_GB2312"/>
          <w:b/>
          <w:bCs/>
          <w:kern w:val="0"/>
          <w:sz w:val="32"/>
          <w:szCs w:val="32"/>
        </w:rPr>
        <w:t>强化大气环境执法监管。</w:t>
      </w:r>
      <w:r>
        <w:rPr>
          <w:rFonts w:ascii="Times New Roman" w:hAnsi="Times New Roman" w:eastAsia="仿宋_GB2312"/>
          <w:kern w:val="0"/>
          <w:sz w:val="32"/>
          <w:szCs w:val="32"/>
        </w:rPr>
        <w:t>全面推行排污许可“一证式”管理，大力推进“非现场”执法，建立以污染源自动监控为主的非现场监管执法体系。加强污染源自动监测设备运行监管，开展CEMS专项检查，确保监测数据质量，确保数据及时、完整传输。加强执法APP、便携式监测设备、自动监控、卫星遥感、无人机、用电量数据、VOCs走航监测等应用，提升执法效能。加强重点领域监督执法，依法依规打击废气治理设施与自动监控设备不正常运行、数据造假等行为。（如东生态环境局牵头，县公安局、行政审批局等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26</w:t>
      </w:r>
      <w:r>
        <w:rPr>
          <w:rFonts w:ascii="Times New Roman" w:hAnsi="Times New Roman" w:eastAsia="仿宋_GB2312"/>
          <w:b/>
          <w:bCs/>
          <w:sz w:val="32"/>
          <w:szCs w:val="32"/>
        </w:rPr>
        <w:t>．</w:t>
      </w:r>
      <w:r>
        <w:rPr>
          <w:rFonts w:ascii="Times New Roman" w:hAnsi="Times New Roman" w:eastAsia="仿宋_GB2312"/>
          <w:b/>
          <w:bCs/>
          <w:kern w:val="0"/>
          <w:sz w:val="32"/>
          <w:szCs w:val="32"/>
        </w:rPr>
        <w:t>强化科技支撑。</w:t>
      </w:r>
      <w:r>
        <w:rPr>
          <w:rFonts w:ascii="Times New Roman" w:hAnsi="Times New Roman" w:eastAsia="仿宋_GB2312"/>
          <w:kern w:val="0"/>
          <w:sz w:val="32"/>
          <w:szCs w:val="32"/>
        </w:rPr>
        <w:t>配合上级完成大气污染源排放清单编制更新工作。配合推进PM2.5和臭氧污染协同控制科技攻关，借助省市专家联动支撑机制，积极挖掘、培养本地技术力量，研究本县复合污染的成因机理、应对机制。（如东生态环境局牵头，县发改委、气象局、市管局等配合）</w:t>
      </w:r>
    </w:p>
    <w:p>
      <w:pPr>
        <w:pStyle w:val="5"/>
        <w:adjustRightInd w:val="0"/>
        <w:snapToGrid w:val="0"/>
        <w:spacing w:line="590" w:lineRule="exact"/>
        <w:ind w:left="105" w:leftChars="50" w:firstLine="627" w:firstLineChars="196"/>
        <w:jc w:val="both"/>
        <w:rPr>
          <w:rFonts w:eastAsia="楷体_GB2312"/>
          <w:kern w:val="0"/>
          <w:sz w:val="32"/>
          <w:szCs w:val="32"/>
        </w:rPr>
      </w:pPr>
      <w:r>
        <w:rPr>
          <w:rFonts w:eastAsia="楷体_GB2312"/>
          <w:kern w:val="0"/>
          <w:sz w:val="32"/>
          <w:szCs w:val="32"/>
        </w:rPr>
        <w:t>（七）健全法规标准体系，引导生态环境经济政策落实</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27</w:t>
      </w:r>
      <w:r>
        <w:rPr>
          <w:rFonts w:ascii="Times New Roman" w:hAnsi="Times New Roman" w:eastAsia="仿宋_GB2312"/>
          <w:b/>
          <w:bCs/>
          <w:sz w:val="32"/>
          <w:szCs w:val="32"/>
        </w:rPr>
        <w:t>．</w:t>
      </w:r>
      <w:r>
        <w:rPr>
          <w:rFonts w:ascii="Times New Roman" w:hAnsi="Times New Roman" w:eastAsia="仿宋_GB2312"/>
          <w:b/>
          <w:bCs/>
          <w:kern w:val="0"/>
          <w:sz w:val="32"/>
          <w:szCs w:val="32"/>
        </w:rPr>
        <w:t>推进相关法规标准落实。</w:t>
      </w:r>
      <w:r>
        <w:rPr>
          <w:rFonts w:ascii="Times New Roman" w:hAnsi="Times New Roman" w:eastAsia="仿宋_GB2312"/>
          <w:kern w:val="0"/>
          <w:sz w:val="32"/>
          <w:szCs w:val="32"/>
        </w:rPr>
        <w:t>协助省市部门推动修订《江苏省机动车排气污染防治管理条例》，进一步强化移动源污染防治工作。推进江苏省地方标准《燃煤电厂大气污染物排放标准》《水泥工业大气污染物排放标准》《表面涂装（工程机械和钢结构行业）大气污染物排放标准》等宣贯落实。（如东生态环境局牵头，县各有关部门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28</w:t>
      </w:r>
      <w:r>
        <w:rPr>
          <w:rFonts w:ascii="Times New Roman" w:hAnsi="Times New Roman" w:eastAsia="仿宋_GB2312"/>
          <w:b/>
          <w:bCs/>
          <w:sz w:val="32"/>
          <w:szCs w:val="32"/>
        </w:rPr>
        <w:t>．</w:t>
      </w:r>
      <w:r>
        <w:rPr>
          <w:rFonts w:ascii="Times New Roman" w:hAnsi="Times New Roman" w:eastAsia="仿宋_GB2312"/>
          <w:b/>
          <w:bCs/>
          <w:kern w:val="0"/>
          <w:sz w:val="32"/>
          <w:szCs w:val="32"/>
        </w:rPr>
        <w:t>加大生态环境资金投入。</w:t>
      </w:r>
      <w:r>
        <w:rPr>
          <w:rFonts w:ascii="Times New Roman" w:hAnsi="Times New Roman" w:eastAsia="仿宋_GB2312"/>
          <w:kern w:val="0"/>
          <w:sz w:val="32"/>
          <w:szCs w:val="32"/>
        </w:rPr>
        <w:t>把生态环境作为财政支出的重要领域，将生态环境资金投入作为基础性、战略性投入予以重点保障，确保与污染防治攻坚任务相匹配。健全完善以生态环境质量改善为导向的资金分配机制。综合运用土地、规划、金融、价格等政策，引导和鼓励更多社会资本进入生态环境领域。配合上级研究实施国一及以下非道路移动机械淘汰、清洁原料源头替代等财政补贴政策。积极推行环境污染责任保险，加快推进排污权、用能权、碳排放权市场化交易，积极推进排污权贷款。加大中央、省级大气污染防治专项资金申报力度，提高项目质量，争取更高项目入库率。（县发改委、财政局、如东生态环境局等按职责分工负责）</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29</w:t>
      </w:r>
      <w:r>
        <w:rPr>
          <w:rFonts w:ascii="Times New Roman" w:hAnsi="Times New Roman" w:eastAsia="仿宋_GB2312"/>
          <w:b/>
          <w:bCs/>
          <w:sz w:val="32"/>
          <w:szCs w:val="32"/>
        </w:rPr>
        <w:t>．</w:t>
      </w:r>
      <w:r>
        <w:rPr>
          <w:rFonts w:ascii="Times New Roman" w:hAnsi="Times New Roman" w:eastAsia="仿宋_GB2312"/>
          <w:b/>
          <w:bCs/>
          <w:kern w:val="0"/>
          <w:sz w:val="32"/>
          <w:szCs w:val="32"/>
        </w:rPr>
        <w:t>健全激励约束机制。</w:t>
      </w:r>
      <w:r>
        <w:rPr>
          <w:rFonts w:ascii="Times New Roman" w:hAnsi="Times New Roman" w:eastAsia="仿宋_GB2312"/>
          <w:kern w:val="0"/>
          <w:sz w:val="32"/>
          <w:szCs w:val="32"/>
        </w:rPr>
        <w:t>完善落实与减污降碳成效挂钩的财政政策，谋划乡镇（街道）空气质量补偿制度，调动属地政府大气污染治理积极性。全面实施环保信用评价，实施跨部门联合奖惩，实现信用数据实时推送、归集入库和动态评价，提高评价结果的公信力。（如东生态环境局牵头，县各有关部门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30</w:t>
      </w:r>
      <w:r>
        <w:rPr>
          <w:rFonts w:ascii="Times New Roman" w:hAnsi="Times New Roman" w:eastAsia="仿宋_GB2312"/>
          <w:b/>
          <w:bCs/>
          <w:sz w:val="32"/>
          <w:szCs w:val="32"/>
        </w:rPr>
        <w:t>．</w:t>
      </w:r>
      <w:r>
        <w:rPr>
          <w:rFonts w:ascii="Times New Roman" w:hAnsi="Times New Roman" w:eastAsia="仿宋_GB2312"/>
          <w:b/>
          <w:bCs/>
          <w:kern w:val="0"/>
          <w:sz w:val="32"/>
          <w:szCs w:val="32"/>
        </w:rPr>
        <w:t>落实差别化价格政策。</w:t>
      </w:r>
      <w:r>
        <w:rPr>
          <w:rFonts w:ascii="Times New Roman" w:hAnsi="Times New Roman" w:eastAsia="仿宋_GB2312"/>
          <w:kern w:val="0"/>
          <w:sz w:val="32"/>
          <w:szCs w:val="32"/>
        </w:rPr>
        <w:t>推进落实环保信用评价等级差别化电价，继续实施生物质发电电价扶持，对实行两部制电价的港口岸电运营商用电免收需量（容量）电费。（县发改委、如东生态环境局、县财政局等按职责分工负责）</w:t>
      </w:r>
    </w:p>
    <w:p>
      <w:pPr>
        <w:pStyle w:val="5"/>
        <w:adjustRightInd w:val="0"/>
        <w:snapToGrid w:val="0"/>
        <w:spacing w:line="590" w:lineRule="exact"/>
        <w:ind w:left="105" w:leftChars="50" w:firstLine="627" w:firstLineChars="196"/>
        <w:jc w:val="both"/>
        <w:rPr>
          <w:rFonts w:eastAsia="楷体_GB2312"/>
          <w:kern w:val="0"/>
          <w:sz w:val="32"/>
          <w:szCs w:val="32"/>
        </w:rPr>
      </w:pPr>
      <w:r>
        <w:rPr>
          <w:rFonts w:eastAsia="楷体_GB2312"/>
          <w:kern w:val="0"/>
          <w:sz w:val="32"/>
          <w:szCs w:val="32"/>
        </w:rPr>
        <w:t>（八）落实各方责任，开展全民行动</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31</w:t>
      </w:r>
      <w:r>
        <w:rPr>
          <w:rFonts w:ascii="Times New Roman" w:hAnsi="Times New Roman" w:eastAsia="仿宋_GB2312"/>
          <w:b/>
          <w:bCs/>
          <w:sz w:val="32"/>
          <w:szCs w:val="32"/>
        </w:rPr>
        <w:t>．</w:t>
      </w:r>
      <w:r>
        <w:rPr>
          <w:rFonts w:ascii="Times New Roman" w:hAnsi="Times New Roman" w:eastAsia="仿宋_GB2312"/>
          <w:b/>
          <w:bCs/>
          <w:kern w:val="0"/>
          <w:sz w:val="32"/>
          <w:szCs w:val="32"/>
        </w:rPr>
        <w:t>强化组织领导。</w:t>
      </w:r>
      <w:r>
        <w:rPr>
          <w:rFonts w:ascii="Times New Roman" w:hAnsi="Times New Roman" w:eastAsia="仿宋_GB2312"/>
          <w:kern w:val="0"/>
          <w:sz w:val="32"/>
          <w:szCs w:val="32"/>
        </w:rPr>
        <w:t>完善“点位长”制度，健全“两长”直通机制和行政约谈等制度，强化“点位长”履职。认真落实生态环境保护责任清单，压紧压实“党政同责、一岗双责”，配合建立市、县、镇（区、街道）三级大气污染攻坚机制。空气质量严重恶化的情况下要制定实施空气质量保障计划，明确具体路线图、任务书、时间表，切实将“以日保月，以月保季，以季保年”落到实处。（如东生态环境局牵头，县各有关部门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32</w:t>
      </w:r>
      <w:r>
        <w:rPr>
          <w:rFonts w:ascii="Times New Roman" w:hAnsi="Times New Roman" w:eastAsia="仿宋_GB2312"/>
          <w:b/>
          <w:bCs/>
          <w:sz w:val="32"/>
          <w:szCs w:val="32"/>
        </w:rPr>
        <w:t>．</w:t>
      </w:r>
      <w:r>
        <w:rPr>
          <w:rFonts w:ascii="Times New Roman" w:hAnsi="Times New Roman" w:eastAsia="仿宋_GB2312"/>
          <w:b/>
          <w:bCs/>
          <w:kern w:val="0"/>
          <w:sz w:val="32"/>
          <w:szCs w:val="32"/>
        </w:rPr>
        <w:t>加强监督考核。</w:t>
      </w:r>
      <w:r>
        <w:rPr>
          <w:rFonts w:ascii="Times New Roman" w:hAnsi="Times New Roman" w:eastAsia="仿宋_GB2312"/>
          <w:kern w:val="0"/>
          <w:sz w:val="32"/>
          <w:szCs w:val="32"/>
        </w:rPr>
        <w:t>将空气质量纳入污染防治攻坚考核。加强日常管理和预警提醒，对工作不力、责任落实不到位、空气质量明显恶化、大气污染问题突出、监测数据弄虚作假严重的镇（区、街道），组织开展专项督察。（如东生态环境局牵头，县各有关部门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33</w:t>
      </w:r>
      <w:r>
        <w:rPr>
          <w:rFonts w:ascii="Times New Roman" w:hAnsi="Times New Roman" w:eastAsia="仿宋_GB2312"/>
          <w:b/>
          <w:bCs/>
          <w:sz w:val="32"/>
          <w:szCs w:val="32"/>
        </w:rPr>
        <w:t>．</w:t>
      </w:r>
      <w:r>
        <w:rPr>
          <w:rFonts w:ascii="Times New Roman" w:hAnsi="Times New Roman" w:eastAsia="仿宋_GB2312"/>
          <w:b/>
          <w:bCs/>
          <w:kern w:val="0"/>
          <w:sz w:val="32"/>
          <w:szCs w:val="32"/>
        </w:rPr>
        <w:t>实施信息公开。</w:t>
      </w:r>
      <w:r>
        <w:rPr>
          <w:rFonts w:ascii="Times New Roman" w:hAnsi="Times New Roman" w:eastAsia="仿宋_GB2312"/>
          <w:kern w:val="0"/>
          <w:sz w:val="32"/>
          <w:szCs w:val="32"/>
        </w:rPr>
        <w:t>定期发布大气环境质量状况及各镇（区、街道）排名情况，每周发布空气质量潜势预报。重点排污单位及时公布自行监测和污染排放数据、污染治理措施、环保违法处罚及整改等信息。已核发排污许可证的排污单位按要求公开污染物排放信息。将治污设施运营管理水平低、存在弄虚作假行为的排污单位和第三方治理、运维、检测机构依法依规列入失信联合惩戒对象名单，定期向社会公布，营造良好社会氛围。（如东生态环境局牵头，县各有关部门配合）</w:t>
      </w:r>
    </w:p>
    <w:p>
      <w:pPr>
        <w:adjustRightInd w:val="0"/>
        <w:snapToGrid w:val="0"/>
        <w:spacing w:line="59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34</w:t>
      </w:r>
      <w:r>
        <w:rPr>
          <w:rFonts w:ascii="Times New Roman" w:hAnsi="Times New Roman" w:eastAsia="仿宋_GB2312"/>
          <w:b/>
          <w:bCs/>
          <w:sz w:val="32"/>
          <w:szCs w:val="32"/>
        </w:rPr>
        <w:t>．</w:t>
      </w:r>
      <w:r>
        <w:rPr>
          <w:rFonts w:ascii="Times New Roman" w:hAnsi="Times New Roman" w:eastAsia="仿宋_GB2312"/>
          <w:b/>
          <w:bCs/>
          <w:kern w:val="0"/>
          <w:sz w:val="32"/>
          <w:szCs w:val="32"/>
        </w:rPr>
        <w:t>发动全民参与。</w:t>
      </w:r>
      <w:r>
        <w:rPr>
          <w:rFonts w:ascii="Times New Roman" w:hAnsi="Times New Roman" w:eastAsia="仿宋_GB2312"/>
          <w:kern w:val="0"/>
          <w:sz w:val="32"/>
          <w:szCs w:val="32"/>
        </w:rPr>
        <w:t>强化宣传引导，讲好生态文明建设“如东故事”，在主流媒体发出如东声音。积极推进生态文明进校园，提升中小学生生态环境保护意识，不断提升全社会参与度。鼓励各镇区、各部门和企业采取补贴、积分奖励等方式促进绿色消费，倡导绿色生活方式。鼓励公众通过多种渠道举报环境违法行为。加强环保社会组织培育引导，壮大生态环境志愿服务力量，营造全社会共同关注生态环境保护的良好氛围。（如东生态环境局牵头，县各有关部门配合）</w:t>
      </w:r>
    </w:p>
    <w:p>
      <w:pPr>
        <w:pStyle w:val="5"/>
        <w:adjustRightInd w:val="0"/>
        <w:snapToGrid w:val="0"/>
        <w:spacing w:line="590" w:lineRule="exact"/>
        <w:rPr>
          <w:rFonts w:eastAsia="仿宋_GB2312"/>
          <w:kern w:val="44"/>
          <w:sz w:val="32"/>
          <w:szCs w:val="32"/>
        </w:rPr>
      </w:pPr>
    </w:p>
    <w:p>
      <w:pPr>
        <w:pStyle w:val="5"/>
        <w:adjustRightInd w:val="0"/>
        <w:snapToGrid w:val="0"/>
        <w:spacing w:line="590" w:lineRule="exact"/>
        <w:jc w:val="both"/>
        <w:rPr>
          <w:rFonts w:eastAsia="仿宋_GB2312"/>
          <w:kern w:val="0"/>
          <w:sz w:val="32"/>
          <w:szCs w:val="32"/>
        </w:rPr>
      </w:pPr>
      <w:r>
        <w:rPr>
          <w:rFonts w:eastAsia="仿宋_GB2312"/>
          <w:kern w:val="0"/>
          <w:sz w:val="32"/>
          <w:szCs w:val="32"/>
        </w:rPr>
        <w:t>附件：1．2022年大气污染防治工程项目汇总表</w:t>
      </w:r>
    </w:p>
    <w:p>
      <w:pPr>
        <w:pStyle w:val="5"/>
        <w:adjustRightInd w:val="0"/>
        <w:snapToGrid w:val="0"/>
        <w:spacing w:line="590" w:lineRule="exact"/>
        <w:ind w:firstLine="960" w:firstLineChars="300"/>
        <w:jc w:val="both"/>
        <w:rPr>
          <w:rFonts w:eastAsia="仿宋_GB2312"/>
          <w:kern w:val="0"/>
          <w:sz w:val="32"/>
          <w:szCs w:val="32"/>
        </w:rPr>
      </w:pPr>
      <w:r>
        <w:rPr>
          <w:rFonts w:eastAsia="仿宋_GB2312"/>
          <w:kern w:val="0"/>
          <w:sz w:val="32"/>
          <w:szCs w:val="32"/>
        </w:rPr>
        <w:t>2．2022年大气污染防治工程项目明细</w:t>
      </w:r>
    </w:p>
    <w:p>
      <w:pPr>
        <w:pStyle w:val="2"/>
        <w:adjustRightInd w:val="0"/>
        <w:snapToGrid w:val="0"/>
        <w:spacing w:line="590" w:lineRule="exact"/>
        <w:rPr>
          <w:rFonts w:ascii="Times New Roman" w:hAnsi="Times New Roman" w:eastAsia="仿宋_GB2312"/>
          <w:sz w:val="32"/>
          <w:szCs w:val="32"/>
        </w:rPr>
        <w:sectPr>
          <w:footerReference r:id="rId9" w:type="default"/>
          <w:footerReference r:id="rId10" w:type="even"/>
          <w:pgSz w:w="11907" w:h="16840"/>
          <w:pgMar w:top="2098" w:right="1531" w:bottom="1758" w:left="1531" w:header="850" w:footer="1474" w:gutter="0"/>
          <w:pgNumType w:fmt="numberInDash"/>
          <w:cols w:space="720" w:num="1"/>
          <w:docGrid w:linePitch="360" w:charSpace="0"/>
        </w:sectPr>
      </w:pPr>
    </w:p>
    <w:p>
      <w:pPr>
        <w:pStyle w:val="5"/>
        <w:spacing w:line="590" w:lineRule="exact"/>
        <w:jc w:val="both"/>
        <w:rPr>
          <w:rFonts w:eastAsia="黑体"/>
          <w:kern w:val="0"/>
          <w:sz w:val="32"/>
          <w:szCs w:val="32"/>
        </w:rPr>
      </w:pPr>
      <w:r>
        <w:rPr>
          <w:rFonts w:eastAsia="黑体"/>
          <w:kern w:val="0"/>
          <w:sz w:val="32"/>
          <w:szCs w:val="32"/>
        </w:rPr>
        <w:t>附件1</w:t>
      </w:r>
    </w:p>
    <w:tbl>
      <w:tblPr>
        <w:tblStyle w:val="11"/>
        <w:tblpPr w:leftFromText="180" w:rightFromText="180" w:vertAnchor="text" w:horzAnchor="page" w:tblpXSpec="center" w:tblpY="826"/>
        <w:tblOverlap w:val="never"/>
        <w:tblW w:w="15979" w:type="dxa"/>
        <w:jc w:val="center"/>
        <w:tblLayout w:type="fixed"/>
        <w:tblCellMar>
          <w:top w:w="0" w:type="dxa"/>
          <w:left w:w="108" w:type="dxa"/>
          <w:bottom w:w="0" w:type="dxa"/>
          <w:right w:w="108" w:type="dxa"/>
        </w:tblCellMar>
      </w:tblPr>
      <w:tblGrid>
        <w:gridCol w:w="2093"/>
        <w:gridCol w:w="850"/>
        <w:gridCol w:w="851"/>
        <w:gridCol w:w="850"/>
        <w:gridCol w:w="709"/>
        <w:gridCol w:w="851"/>
        <w:gridCol w:w="708"/>
        <w:gridCol w:w="709"/>
        <w:gridCol w:w="851"/>
        <w:gridCol w:w="850"/>
        <w:gridCol w:w="851"/>
        <w:gridCol w:w="850"/>
        <w:gridCol w:w="851"/>
        <w:gridCol w:w="850"/>
        <w:gridCol w:w="851"/>
        <w:gridCol w:w="850"/>
        <w:gridCol w:w="851"/>
        <w:gridCol w:w="703"/>
      </w:tblGrid>
      <w:tr>
        <w:tblPrEx>
          <w:tblCellMar>
            <w:top w:w="0" w:type="dxa"/>
            <w:left w:w="108" w:type="dxa"/>
            <w:bottom w:w="0" w:type="dxa"/>
            <w:right w:w="108" w:type="dxa"/>
          </w:tblCellMar>
        </w:tblPrEx>
        <w:trPr>
          <w:trHeight w:val="841"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工程项目</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洋口港经济开发区</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如东经济开发区</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洋口镇</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外农</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大豫镇</w:t>
            </w:r>
          </w:p>
        </w:tc>
        <w:tc>
          <w:tcPr>
            <w:tcW w:w="708"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城中街道</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掘港街道</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栟茶镇</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丰利镇</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left"/>
              <w:rPr>
                <w:rFonts w:ascii="Times New Roman" w:hAnsi="Times New Roman" w:eastAsia="方正仿宋_GBK"/>
                <w:b/>
                <w:bCs/>
                <w:szCs w:val="21"/>
              </w:rPr>
            </w:pPr>
            <w:r>
              <w:rPr>
                <w:rFonts w:ascii="Times New Roman" w:hAnsi="Times New Roman" w:eastAsia="方正仿宋_GBK"/>
                <w:b/>
                <w:bCs/>
                <w:szCs w:val="21"/>
              </w:rPr>
              <w:t>马塘镇</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曹埠镇</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岔河镇</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新店镇</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双甸镇</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河口镇</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袁庄镇</w:t>
            </w:r>
          </w:p>
        </w:tc>
        <w:tc>
          <w:tcPr>
            <w:tcW w:w="703" w:type="dxa"/>
            <w:tcBorders>
              <w:top w:val="single" w:color="000000" w:sz="4" w:space="0"/>
              <w:left w:val="nil"/>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合计</w:t>
            </w:r>
          </w:p>
        </w:tc>
      </w:tr>
      <w:tr>
        <w:tblPrEx>
          <w:tblCellMar>
            <w:top w:w="0" w:type="dxa"/>
            <w:left w:w="108" w:type="dxa"/>
            <w:bottom w:w="0" w:type="dxa"/>
            <w:right w:w="108" w:type="dxa"/>
          </w:tblCellMar>
        </w:tblPrEx>
        <w:trPr>
          <w:trHeight w:val="6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能源结构调整（散煤清洁化替代）</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6</w:t>
            </w:r>
          </w:p>
        </w:tc>
      </w:tr>
      <w:tr>
        <w:tblPrEx>
          <w:tblCellMar>
            <w:top w:w="0" w:type="dxa"/>
            <w:left w:w="108" w:type="dxa"/>
            <w:bottom w:w="0" w:type="dxa"/>
            <w:right w:w="108" w:type="dxa"/>
          </w:tblCellMar>
        </w:tblPrEx>
        <w:trPr>
          <w:trHeight w:val="6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VOCs无组织排放治理项目（储罐治理）</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16</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216</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18</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250</w:t>
            </w:r>
          </w:p>
        </w:tc>
      </w:tr>
      <w:tr>
        <w:tblPrEx>
          <w:tblCellMar>
            <w:top w:w="0" w:type="dxa"/>
            <w:left w:w="108" w:type="dxa"/>
            <w:bottom w:w="0" w:type="dxa"/>
            <w:right w:w="108" w:type="dxa"/>
          </w:tblCellMar>
        </w:tblPrEx>
        <w:trPr>
          <w:trHeight w:val="3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源头替代</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5</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9</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6</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26</w:t>
            </w:r>
          </w:p>
        </w:tc>
      </w:tr>
      <w:tr>
        <w:tblPrEx>
          <w:tblCellMar>
            <w:top w:w="0" w:type="dxa"/>
            <w:left w:w="108" w:type="dxa"/>
            <w:bottom w:w="0" w:type="dxa"/>
            <w:right w:w="108" w:type="dxa"/>
          </w:tblCellMar>
        </w:tblPrEx>
        <w:trPr>
          <w:trHeight w:val="6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产业结构调整（“两高”行业产能压减、散乱污整治等）</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szCs w:val="21"/>
              </w:rPr>
              <w:t>2</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szCs w:val="21"/>
              </w:rPr>
              <w:t>3</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6</w:t>
            </w:r>
          </w:p>
        </w:tc>
      </w:tr>
      <w:tr>
        <w:tblPrEx>
          <w:tblCellMar>
            <w:top w:w="0" w:type="dxa"/>
            <w:left w:w="108" w:type="dxa"/>
            <w:bottom w:w="0" w:type="dxa"/>
            <w:right w:w="108" w:type="dxa"/>
          </w:tblCellMar>
        </w:tblPrEx>
        <w:trPr>
          <w:trHeight w:val="3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VOCs综合治理</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5</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18</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31</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5</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70</w:t>
            </w:r>
          </w:p>
        </w:tc>
      </w:tr>
      <w:tr>
        <w:tblPrEx>
          <w:tblCellMar>
            <w:top w:w="0" w:type="dxa"/>
            <w:left w:w="108" w:type="dxa"/>
            <w:bottom w:w="0" w:type="dxa"/>
            <w:right w:w="108" w:type="dxa"/>
          </w:tblCellMar>
        </w:tblPrEx>
        <w:trPr>
          <w:trHeight w:val="3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加油站三次回收改造项目</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8</w:t>
            </w:r>
          </w:p>
        </w:tc>
      </w:tr>
      <w:tr>
        <w:tblPrEx>
          <w:tblCellMar>
            <w:top w:w="0" w:type="dxa"/>
            <w:left w:w="108" w:type="dxa"/>
            <w:bottom w:w="0" w:type="dxa"/>
            <w:right w:w="108" w:type="dxa"/>
          </w:tblCellMar>
        </w:tblPrEx>
        <w:trPr>
          <w:trHeight w:val="3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餐饮油烟治理项目</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20</w:t>
            </w:r>
          </w:p>
        </w:tc>
        <w:tc>
          <w:tcPr>
            <w:tcW w:w="709" w:type="dxa"/>
            <w:tcBorders>
              <w:top w:val="nil"/>
              <w:left w:val="nil"/>
              <w:bottom w:val="single" w:color="000000" w:sz="4" w:space="0"/>
              <w:right w:val="single" w:color="000000" w:sz="4" w:space="0"/>
            </w:tcBorders>
            <w:shd w:val="clear" w:color="000000" w:fill="FFFFFF"/>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20</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50</w:t>
            </w:r>
          </w:p>
        </w:tc>
      </w:tr>
      <w:tr>
        <w:tblPrEx>
          <w:tblCellMar>
            <w:top w:w="0" w:type="dxa"/>
            <w:left w:w="108" w:type="dxa"/>
            <w:bottom w:w="0" w:type="dxa"/>
            <w:right w:w="108" w:type="dxa"/>
          </w:tblCellMar>
        </w:tblPrEx>
        <w:trPr>
          <w:trHeight w:val="3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重点行业和重点设施减排项目</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szCs w:val="21"/>
              </w:rPr>
              <w:t>2</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szCs w:val="21"/>
              </w:rPr>
              <w:t>3</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8</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szCs w:val="21"/>
              </w:rPr>
              <w:t>2</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30</w:t>
            </w:r>
          </w:p>
        </w:tc>
      </w:tr>
      <w:tr>
        <w:tblPrEx>
          <w:tblCellMar>
            <w:top w:w="0" w:type="dxa"/>
            <w:left w:w="108" w:type="dxa"/>
            <w:bottom w:w="0" w:type="dxa"/>
            <w:right w:w="108" w:type="dxa"/>
          </w:tblCellMar>
        </w:tblPrEx>
        <w:trPr>
          <w:trHeight w:val="3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其他项目</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13</w:t>
            </w:r>
          </w:p>
        </w:tc>
      </w:tr>
      <w:tr>
        <w:tblPrEx>
          <w:tblCellMar>
            <w:top w:w="0" w:type="dxa"/>
            <w:left w:w="108" w:type="dxa"/>
            <w:bottom w:w="0" w:type="dxa"/>
            <w:right w:w="108" w:type="dxa"/>
          </w:tblCellMar>
        </w:tblPrEx>
        <w:trPr>
          <w:trHeight w:val="300" w:hRule="atLeast"/>
          <w:jc w:val="center"/>
        </w:trPr>
        <w:tc>
          <w:tcPr>
            <w:tcW w:w="20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b/>
                <w:bCs/>
                <w:color w:val="000000"/>
                <w:szCs w:val="21"/>
              </w:rPr>
            </w:pPr>
            <w:r>
              <w:rPr>
                <w:rFonts w:ascii="Times New Roman" w:hAnsi="Times New Roman" w:eastAsia="方正仿宋_GBK"/>
                <w:b/>
                <w:bCs/>
                <w:color w:val="000000"/>
                <w:kern w:val="0"/>
                <w:szCs w:val="21"/>
              </w:rPr>
              <w:t>合计</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25</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40</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256</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7</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21</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7</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27</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18</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7</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7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459</w:t>
            </w:r>
          </w:p>
        </w:tc>
      </w:tr>
    </w:tbl>
    <w:p>
      <w:pPr>
        <w:pStyle w:val="22"/>
        <w:spacing w:before="0" w:after="0" w:line="520" w:lineRule="exact"/>
        <w:ind w:firstLine="0" w:firstLineChars="0"/>
        <w:jc w:val="center"/>
        <w:rPr>
          <w:rFonts w:ascii="Times New Roman" w:hAnsi="Times New Roman" w:eastAsia="方正小标宋_GBK"/>
          <w:b w:val="0"/>
          <w:snapToGrid w:val="0"/>
          <w:kern w:val="0"/>
          <w:sz w:val="44"/>
          <w:szCs w:val="44"/>
        </w:rPr>
      </w:pPr>
      <w:r>
        <w:rPr>
          <w:rFonts w:ascii="Times New Roman" w:hAnsi="Times New Roman" w:eastAsia="方正小标宋_GBK"/>
          <w:b w:val="0"/>
          <w:snapToGrid w:val="0"/>
          <w:kern w:val="0"/>
          <w:sz w:val="44"/>
          <w:szCs w:val="44"/>
        </w:rPr>
        <w:t>2022年大气污染防治工程项目汇总表</w:t>
      </w:r>
    </w:p>
    <w:p>
      <w:pPr>
        <w:jc w:val="center"/>
        <w:rPr>
          <w:rFonts w:ascii="Times New Roman" w:hAnsi="Times New Roman"/>
          <w:sz w:val="28"/>
          <w:szCs w:val="28"/>
        </w:rPr>
        <w:sectPr>
          <w:pgSz w:w="16840" w:h="11907" w:orient="landscape"/>
          <w:pgMar w:top="2098" w:right="1531" w:bottom="1758" w:left="1531" w:header="720" w:footer="1474" w:gutter="0"/>
          <w:pgNumType w:fmt="numberInDash"/>
          <w:cols w:space="720" w:num="1"/>
          <w:docGrid w:linePitch="360" w:charSpace="0"/>
        </w:sectPr>
      </w:pPr>
    </w:p>
    <w:p>
      <w:pPr>
        <w:pStyle w:val="5"/>
        <w:spacing w:line="590" w:lineRule="exact"/>
        <w:jc w:val="both"/>
        <w:rPr>
          <w:rFonts w:eastAsia="黑体"/>
          <w:kern w:val="0"/>
          <w:sz w:val="32"/>
          <w:szCs w:val="32"/>
        </w:rPr>
      </w:pPr>
      <w:r>
        <w:rPr>
          <w:rFonts w:eastAsia="黑体"/>
          <w:kern w:val="0"/>
          <w:sz w:val="32"/>
          <w:szCs w:val="32"/>
        </w:rPr>
        <w:t>附件2</w:t>
      </w:r>
    </w:p>
    <w:p>
      <w:pPr>
        <w:pStyle w:val="22"/>
        <w:spacing w:before="0" w:after="0" w:line="500" w:lineRule="exact"/>
        <w:ind w:firstLine="0" w:firstLineChars="0"/>
        <w:jc w:val="center"/>
        <w:rPr>
          <w:rFonts w:ascii="Times New Roman" w:hAnsi="Times New Roman" w:eastAsia="方正小标宋_GBK"/>
          <w:b w:val="0"/>
          <w:snapToGrid w:val="0"/>
          <w:kern w:val="0"/>
          <w:sz w:val="44"/>
          <w:szCs w:val="44"/>
        </w:rPr>
      </w:pPr>
      <w:r>
        <w:rPr>
          <w:rFonts w:ascii="Times New Roman" w:hAnsi="Times New Roman" w:eastAsia="方正小标宋_GBK"/>
          <w:b w:val="0"/>
          <w:snapToGrid w:val="0"/>
          <w:kern w:val="0"/>
          <w:sz w:val="44"/>
          <w:szCs w:val="44"/>
        </w:rPr>
        <w:t>2022年大气污染防治工程项目明细</w:t>
      </w:r>
    </w:p>
    <w:p>
      <w:pPr>
        <w:pStyle w:val="22"/>
        <w:spacing w:before="0" w:after="0" w:line="500" w:lineRule="exact"/>
        <w:ind w:firstLine="0" w:firstLineChars="0"/>
        <w:jc w:val="center"/>
        <w:rPr>
          <w:rFonts w:ascii="Times New Roman" w:hAnsi="Times New Roman" w:eastAsia="方正小标宋_GBK"/>
          <w:b w:val="0"/>
          <w:snapToGrid w:val="0"/>
          <w:kern w:val="0"/>
          <w:sz w:val="44"/>
          <w:szCs w:val="44"/>
        </w:rPr>
      </w:pPr>
    </w:p>
    <w:p>
      <w:pPr>
        <w:spacing w:line="32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表1  产业结构调整、能源结构调整、源头替代、加油站三次回收改造</w:t>
      </w:r>
    </w:p>
    <w:tbl>
      <w:tblPr>
        <w:tblStyle w:val="11"/>
        <w:tblpPr w:leftFromText="180" w:rightFromText="180" w:vertAnchor="text" w:horzAnchor="page" w:tblpX="1177" w:tblpY="22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29"/>
        <w:gridCol w:w="1318"/>
        <w:gridCol w:w="3014"/>
        <w:gridCol w:w="304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1101"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项目类型</w:t>
            </w:r>
          </w:p>
        </w:tc>
        <w:tc>
          <w:tcPr>
            <w:tcW w:w="629"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序号</w:t>
            </w:r>
          </w:p>
        </w:tc>
        <w:tc>
          <w:tcPr>
            <w:tcW w:w="1318"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镇（区、街道）</w:t>
            </w:r>
          </w:p>
        </w:tc>
        <w:tc>
          <w:tcPr>
            <w:tcW w:w="3014"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企业（项目）名称</w:t>
            </w:r>
          </w:p>
        </w:tc>
        <w:tc>
          <w:tcPr>
            <w:tcW w:w="3045"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整治措施</w:t>
            </w:r>
          </w:p>
        </w:tc>
        <w:tc>
          <w:tcPr>
            <w:tcW w:w="782"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序时进度要求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1"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b/>
                <w:bCs/>
                <w:color w:val="000000"/>
                <w:kern w:val="0"/>
                <w:szCs w:val="21"/>
              </w:rPr>
              <w:t>产业结构调整（“两高”行业产能压减、散乱污整治等）</w:t>
            </w: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外农</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南通佳吉利劳保用品有限公司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关停取缔</w:t>
            </w:r>
          </w:p>
        </w:tc>
        <w:tc>
          <w:tcPr>
            <w:tcW w:w="782"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2022年12月底前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如东志高铸件有限公司铝壳炉淘汰</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南通永丰铸业有限公司铝壳炉淘汰</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南通敏江机电制造厂铝壳炉淘汰</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江苏旭东机械有限公司铝壳炉淘汰</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南通沪乐铸造有限公司铝壳炉淘汰</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1"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b/>
                <w:bCs/>
                <w:szCs w:val="21"/>
              </w:rPr>
              <w:t>能源结构调整（散煤清洁化替代）</w:t>
            </w: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如东丰盛家庭农场</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782"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2022年12月底前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318"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如东县华程家庭农场</w:t>
            </w:r>
          </w:p>
        </w:tc>
        <w:tc>
          <w:tcPr>
            <w:tcW w:w="3045"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318"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李建成烘干机燃料整改项目</w:t>
            </w:r>
          </w:p>
        </w:tc>
        <w:tc>
          <w:tcPr>
            <w:tcW w:w="3045"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318"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如东祥云家庭农场</w:t>
            </w:r>
          </w:p>
        </w:tc>
        <w:tc>
          <w:tcPr>
            <w:tcW w:w="3045"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1318"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外农</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丁维兵养殖户</w:t>
            </w:r>
          </w:p>
        </w:tc>
        <w:tc>
          <w:tcPr>
            <w:tcW w:w="3045"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1318"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大豫镇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如东县东海三龙鳗鱼苗养殖场</w:t>
            </w:r>
          </w:p>
        </w:tc>
        <w:tc>
          <w:tcPr>
            <w:tcW w:w="3045" w:type="dxa"/>
            <w:noWrap/>
            <w:vAlign w:val="bottom"/>
          </w:tcPr>
          <w:p>
            <w:pPr>
              <w:spacing w:line="320" w:lineRule="exact"/>
              <w:jc w:val="center"/>
              <w:rPr>
                <w:rFonts w:ascii="Times New Roman" w:hAnsi="Times New Roman" w:eastAsia="方正仿宋_GBK"/>
                <w:szCs w:val="21"/>
              </w:rPr>
            </w:pPr>
            <w:r>
              <w:rPr>
                <w:rFonts w:ascii="Times New Roman" w:hAnsi="Times New Roman" w:eastAsia="方正仿宋_GBK"/>
                <w:szCs w:val="21"/>
              </w:rPr>
              <w:t>改电锅炉</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restart"/>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源头替代</w:t>
            </w: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南通东力健身器材有限公司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2022年9月底前</w:t>
            </w:r>
          </w:p>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南通华亮健身器材有限公司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南通怡达运动用品有限公司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南通海清健身器材有限公司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如东县通业健身器材有限公司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南通源泉健身器材有限公司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7</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岔河镇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南通维德运动用品有限公司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8</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岔河镇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如东县天龙健身器材厂</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9</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岔河镇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南通仁和体育用品有限公司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10</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岔河镇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南通森纳机械有限公司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11</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南通陶美机械制造有限公司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12</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江苏旭东机械有限公司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13</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土平机械（江苏）有限公司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14</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南通惠通石油机械有限公司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15</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环讯精密制品(南通)有限公司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16</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马塘镇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江苏乾麦食品机械有限公司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17</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南通韩轩精密科技有限公司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18</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如东宇昌包装材料有限公司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b/>
                <w:bCs/>
                <w:szCs w:val="21"/>
              </w:rPr>
              <w:t>源头替代</w:t>
            </w: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19</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南通新世纪印务有限公司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20</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南通方圆印务有限责任公司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21</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南通美印达包装制品有限公司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22</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南通中成彩印包装有限公司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23</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南通金羽印务有限公司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24</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江苏优尼科家居有限公司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25</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掘港街道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江苏祥盛倍得满家具有限公司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26</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河口镇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南通腾革建筑机械设备有限公司</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使用水性或低VOCs原料替代</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b/>
                <w:bCs/>
                <w:color w:val="000000"/>
                <w:kern w:val="0"/>
                <w:szCs w:val="21"/>
              </w:rPr>
              <w:t>加油站三次回收改造项目</w:t>
            </w: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中国石油化工股份有限公司江苏南通如东新区加油站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2022年12月底前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大豫</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中国石化销售有限公司江苏南通如东兵房加油站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栟茶</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中国石化销售有限公司江苏南通如东栟茶加油站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丰利</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中国石化销售有限公司江苏南通如东丰利加油站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洋口镇</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中国石化销售有限公司江苏南通如东洋口渔港加油站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中国石油天然气股份有限公司江苏南通如东北外环加油站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7</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城中街道</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中国石油天然气股份有限公司江苏南通销售分公司如东城中加油站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01" w:type="dxa"/>
            <w:vMerge w:val="continue"/>
            <w:noWrap/>
            <w:vAlign w:val="center"/>
          </w:tcPr>
          <w:p>
            <w:pPr>
              <w:spacing w:line="320" w:lineRule="exact"/>
              <w:jc w:val="center"/>
              <w:rPr>
                <w:rFonts w:ascii="Times New Roman" w:hAnsi="Times New Roman" w:eastAsia="方正仿宋_GBK"/>
                <w:szCs w:val="21"/>
              </w:rPr>
            </w:pPr>
          </w:p>
        </w:tc>
        <w:tc>
          <w:tcPr>
            <w:tcW w:w="62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8</w:t>
            </w:r>
          </w:p>
        </w:tc>
        <w:tc>
          <w:tcPr>
            <w:tcW w:w="1318"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01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中海油销售南通有限公司如东新区加油站</w:t>
            </w:r>
          </w:p>
        </w:tc>
        <w:tc>
          <w:tcPr>
            <w:tcW w:w="304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安装自动监控设施及三次油气回收装置</w:t>
            </w:r>
          </w:p>
        </w:tc>
        <w:tc>
          <w:tcPr>
            <w:tcW w:w="782" w:type="dxa"/>
            <w:vMerge w:val="continue"/>
            <w:noWrap/>
            <w:vAlign w:val="center"/>
          </w:tcPr>
          <w:p>
            <w:pPr>
              <w:spacing w:line="320" w:lineRule="exact"/>
              <w:jc w:val="center"/>
              <w:rPr>
                <w:rFonts w:ascii="Times New Roman" w:hAnsi="Times New Roman" w:eastAsia="方正仿宋_GBK"/>
                <w:szCs w:val="21"/>
              </w:rPr>
            </w:pPr>
          </w:p>
        </w:tc>
      </w:tr>
    </w:tbl>
    <w:p>
      <w:pPr>
        <w:adjustRightInd w:val="0"/>
        <w:snapToGrid w:val="0"/>
        <w:spacing w:line="590" w:lineRule="exact"/>
        <w:ind w:firstLine="640" w:firstLineChars="200"/>
        <w:rPr>
          <w:rFonts w:ascii="Times New Roman" w:hAnsi="Times New Roman" w:eastAsia="方正仿宋_GBK"/>
          <w:kern w:val="0"/>
          <w:sz w:val="32"/>
          <w:szCs w:val="32"/>
        </w:rPr>
      </w:pPr>
    </w:p>
    <w:p>
      <w:pPr>
        <w:pStyle w:val="5"/>
        <w:spacing w:line="590" w:lineRule="exact"/>
        <w:rPr>
          <w:kern w:val="44"/>
          <w:sz w:val="44"/>
        </w:rPr>
      </w:pPr>
    </w:p>
    <w:p>
      <w:pPr>
        <w:adjustRightInd w:val="0"/>
        <w:snapToGrid w:val="0"/>
        <w:spacing w:line="590" w:lineRule="exact"/>
        <w:ind w:firstLine="640" w:firstLineChars="200"/>
        <w:rPr>
          <w:rFonts w:ascii="Times New Roman" w:hAnsi="Times New Roman" w:eastAsia="方正仿宋_GBK"/>
          <w:kern w:val="0"/>
          <w:sz w:val="32"/>
          <w:szCs w:val="32"/>
        </w:rPr>
        <w:sectPr>
          <w:pgSz w:w="11907" w:h="16840"/>
          <w:pgMar w:top="2098" w:right="1531" w:bottom="1758" w:left="1531" w:header="850" w:footer="1474" w:gutter="0"/>
          <w:pgNumType w:fmt="numberInDash"/>
          <w:cols w:space="720" w:num="1"/>
          <w:docGrid w:linePitch="360" w:charSpace="0"/>
        </w:sectPr>
      </w:pPr>
    </w:p>
    <w:p>
      <w:pPr>
        <w:pStyle w:val="22"/>
        <w:spacing w:before="0" w:after="0" w:line="580" w:lineRule="exact"/>
        <w:ind w:firstLine="0" w:firstLineChars="0"/>
        <w:jc w:val="center"/>
        <w:rPr>
          <w:rFonts w:ascii="黑体" w:hAnsi="黑体" w:eastAsia="黑体" w:cs="黑体"/>
          <w:b w:val="0"/>
          <w:szCs w:val="32"/>
        </w:rPr>
      </w:pPr>
      <w:r>
        <w:rPr>
          <w:rFonts w:ascii="黑体" w:hAnsi="黑体" w:eastAsia="黑体" w:cs="黑体"/>
          <w:b w:val="0"/>
          <w:szCs w:val="32"/>
        </w:rPr>
        <w:t>表2重点行业和重点设施减排项目明细</w:t>
      </w:r>
    </w:p>
    <w:tbl>
      <w:tblPr>
        <w:tblStyle w:val="11"/>
        <w:tblpPr w:leftFromText="180" w:rightFromText="180" w:vertAnchor="text" w:horzAnchor="page" w:tblpX="1256" w:tblpY="22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969"/>
        <w:gridCol w:w="297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序号</w:t>
            </w:r>
          </w:p>
        </w:tc>
        <w:tc>
          <w:tcPr>
            <w:tcW w:w="1134"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镇（区、街道）</w:t>
            </w:r>
          </w:p>
        </w:tc>
        <w:tc>
          <w:tcPr>
            <w:tcW w:w="3969"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企业（项目）名称</w:t>
            </w:r>
          </w:p>
        </w:tc>
        <w:tc>
          <w:tcPr>
            <w:tcW w:w="2977"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整治措施</w:t>
            </w:r>
          </w:p>
        </w:tc>
        <w:tc>
          <w:tcPr>
            <w:tcW w:w="992" w:type="dxa"/>
            <w:noWrap/>
            <w:vAlign w:val="center"/>
          </w:tcPr>
          <w:p>
            <w:pPr>
              <w:spacing w:line="320" w:lineRule="exact"/>
              <w:jc w:val="center"/>
              <w:rPr>
                <w:rFonts w:ascii="Times New Roman" w:hAnsi="Times New Roman" w:eastAsia="方正仿宋_GBK"/>
                <w:b/>
                <w:bCs/>
                <w:szCs w:val="21"/>
              </w:rPr>
            </w:pPr>
            <w:r>
              <w:rPr>
                <w:rFonts w:ascii="Times New Roman" w:hAnsi="Times New Roman" w:eastAsia="方正仿宋_GBK"/>
                <w:b/>
                <w:bCs/>
                <w:szCs w:val="21"/>
              </w:rPr>
              <w:t>序时进度要求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洋口港</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如东县三联紫菜有限公司锅炉整治项目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拆除一台0.8吨的燃煤锅炉</w:t>
            </w:r>
          </w:p>
        </w:tc>
        <w:tc>
          <w:tcPr>
            <w:tcW w:w="992" w:type="dxa"/>
            <w:vMerge w:val="restart"/>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洋口港</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陈继明个体户锅炉整治项目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拆除两台2.5MW的生物质锅炉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洋口港</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江苏宏雅木业有限公司锅炉整治项目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4蒸吨以上锅炉废气超低排放改造</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洋口港</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南通长林印染有限公司锅炉整治项目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4蒸吨以上锅炉废气超低排放改造</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栟茶镇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如东县东盟纺织印染有限公司锅炉整治项目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生物质锅炉停用</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栟茶镇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金兴农虾苗锅炉整治项目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更换电加热或安装废气处理设施</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7</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袁庄镇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恒泰时装厂蒸汽发生器废气改造项目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加装除尘设施</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8</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袁庄镇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东荣服装有限公司蒸汽发生器废气改造项目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加装除尘设施</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9</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袁庄镇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海河滩食品厂燃煤锅炉改造项目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改燃油燃烧机×2</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10</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袁庄镇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如东香珍食品厂燃煤锅炉改造项目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改电热蒸汽发生器</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11</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如东丰盛家庭农场烘干机燃料整改项目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12</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如东县华程家庭农场烘干机燃料整改项目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13</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李建成烘干机燃料整改项目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14</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如东祥云家庭农场烘干机燃料整改项目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散煤改燃料油</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15</w:t>
            </w:r>
          </w:p>
        </w:tc>
        <w:tc>
          <w:tcPr>
            <w:tcW w:w="1134"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南通市富贵源印花有限公司4蒸吨以上锅炉提标改造项目</w:t>
            </w:r>
          </w:p>
        </w:tc>
        <w:tc>
          <w:tcPr>
            <w:tcW w:w="2977"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4蒸吨以上锅炉废气超低排放改造</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16</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如东志高铸件有限公司铝壳炉淘汰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17</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南通永丰铸业有限公司铝壳炉淘汰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18</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曹埠镇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南通敏江机电制造厂铝壳炉淘汰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19</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马塘镇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江苏新象股份有限公司铝壳炉淘汰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20</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马塘镇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江苏诺嘉机械有限公司铝壳炉淘汰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21</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马塘镇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如东黄海泵业有限公司铝壳炉淘汰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22</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外农</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丁维兵养殖户锅炉整治项目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燃料由燃煤改造成生物质</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23</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大豫镇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如东县东海三龙鳗鱼苗养殖场锅炉整治项目</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改电锅炉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24</w:t>
            </w:r>
          </w:p>
        </w:tc>
        <w:tc>
          <w:tcPr>
            <w:tcW w:w="1134"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大豫镇</w:t>
            </w:r>
          </w:p>
        </w:tc>
        <w:tc>
          <w:tcPr>
            <w:tcW w:w="3969"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如东天楹环保能源有限公司重点行业深度治理项目</w:t>
            </w:r>
          </w:p>
        </w:tc>
        <w:tc>
          <w:tcPr>
            <w:tcW w:w="2977"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试点开展氮氧化物深度治理</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25</w:t>
            </w:r>
          </w:p>
        </w:tc>
        <w:tc>
          <w:tcPr>
            <w:tcW w:w="1134"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大豫镇</w:t>
            </w:r>
          </w:p>
        </w:tc>
        <w:tc>
          <w:tcPr>
            <w:tcW w:w="3969"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光大消防器材（南通）有限公司废气治理设施提标改造项目</w:t>
            </w:r>
          </w:p>
        </w:tc>
        <w:tc>
          <w:tcPr>
            <w:tcW w:w="2977"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新增布袋除尘装置</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26</w:t>
            </w:r>
          </w:p>
        </w:tc>
        <w:tc>
          <w:tcPr>
            <w:tcW w:w="1134"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大豫镇</w:t>
            </w:r>
          </w:p>
        </w:tc>
        <w:tc>
          <w:tcPr>
            <w:tcW w:w="3969"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如东县宝利造纸厂4蒸吨以上锅炉提标改造项目</w:t>
            </w:r>
          </w:p>
        </w:tc>
        <w:tc>
          <w:tcPr>
            <w:tcW w:w="2977" w:type="dxa"/>
            <w:noWrap/>
            <w:vAlign w:val="center"/>
          </w:tcPr>
          <w:p>
            <w:pPr>
              <w:spacing w:line="300" w:lineRule="exact"/>
              <w:jc w:val="center"/>
              <w:rPr>
                <w:rFonts w:ascii="Times New Roman" w:hAnsi="Times New Roman" w:eastAsia="方正仿宋_GBK"/>
                <w:szCs w:val="21"/>
              </w:rPr>
            </w:pPr>
            <w:r>
              <w:rPr>
                <w:rFonts w:ascii="Times New Roman" w:hAnsi="Times New Roman" w:eastAsia="方正仿宋_GBK"/>
                <w:szCs w:val="21"/>
              </w:rPr>
              <w:t>4蒸吨以上锅炉废气超低排放改造</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27</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江苏旭东机械有限公司铝壳炉淘汰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28</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经济开发区</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南通沪乐铸造有限公司铝壳炉淘汰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29</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南通隆润机械科技有限公司铝壳炉淘汰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5"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30</w:t>
            </w:r>
          </w:p>
        </w:tc>
        <w:tc>
          <w:tcPr>
            <w:tcW w:w="1134"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新店镇</w:t>
            </w:r>
          </w:p>
        </w:tc>
        <w:tc>
          <w:tcPr>
            <w:tcW w:w="3969"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南通众阳机械有限公司铝壳炉淘汰</w:t>
            </w:r>
          </w:p>
        </w:tc>
        <w:tc>
          <w:tcPr>
            <w:tcW w:w="2977" w:type="dxa"/>
            <w:noWrap/>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淘汰铝壳炉</w:t>
            </w:r>
          </w:p>
        </w:tc>
        <w:tc>
          <w:tcPr>
            <w:tcW w:w="992" w:type="dxa"/>
            <w:vMerge w:val="continue"/>
            <w:noWrap/>
            <w:vAlign w:val="center"/>
          </w:tcPr>
          <w:p>
            <w:pPr>
              <w:spacing w:line="320" w:lineRule="exact"/>
              <w:jc w:val="center"/>
              <w:rPr>
                <w:rFonts w:ascii="Times New Roman" w:hAnsi="Times New Roman" w:eastAsia="方正仿宋_GBK"/>
                <w:szCs w:val="21"/>
              </w:rPr>
            </w:pPr>
          </w:p>
        </w:tc>
      </w:tr>
    </w:tbl>
    <w:p>
      <w:pPr>
        <w:jc w:val="center"/>
        <w:rPr>
          <w:rFonts w:ascii="Times New Roman" w:hAnsi="Times New Roman" w:eastAsia="方正小标宋_GBK"/>
          <w:snapToGrid w:val="0"/>
          <w:kern w:val="0"/>
          <w:sz w:val="28"/>
          <w:szCs w:val="28"/>
        </w:rPr>
      </w:pPr>
    </w:p>
    <w:p>
      <w:pPr>
        <w:jc w:val="center"/>
        <w:rPr>
          <w:rFonts w:ascii="Times New Roman" w:hAnsi="Times New Roman" w:eastAsia="方正小标宋_GBK"/>
          <w:snapToGrid w:val="0"/>
          <w:kern w:val="0"/>
          <w:sz w:val="28"/>
          <w:szCs w:val="28"/>
        </w:rPr>
      </w:pPr>
    </w:p>
    <w:p>
      <w:pPr>
        <w:pStyle w:val="22"/>
        <w:spacing w:before="0" w:after="0" w:line="580" w:lineRule="exact"/>
        <w:ind w:firstLine="0" w:firstLineChars="0"/>
        <w:jc w:val="center"/>
        <w:rPr>
          <w:rFonts w:ascii="黑体" w:hAnsi="黑体" w:eastAsia="黑体" w:cs="黑体"/>
          <w:b w:val="0"/>
          <w:szCs w:val="32"/>
        </w:rPr>
        <w:sectPr>
          <w:pgSz w:w="11907" w:h="16840"/>
          <w:pgMar w:top="2098" w:right="1531" w:bottom="1758" w:left="1531" w:header="850" w:footer="1474" w:gutter="0"/>
          <w:pgNumType w:fmt="numberInDash"/>
          <w:cols w:space="720" w:num="1"/>
          <w:docGrid w:linePitch="360" w:charSpace="0"/>
        </w:sectPr>
      </w:pPr>
    </w:p>
    <w:p>
      <w:pPr>
        <w:pStyle w:val="22"/>
        <w:spacing w:before="0" w:after="0" w:line="580" w:lineRule="exact"/>
        <w:ind w:firstLine="0" w:firstLineChars="0"/>
        <w:jc w:val="center"/>
        <w:rPr>
          <w:rFonts w:ascii="黑体" w:hAnsi="黑体" w:eastAsia="黑体" w:cs="黑体"/>
          <w:b w:val="0"/>
          <w:szCs w:val="32"/>
        </w:rPr>
      </w:pPr>
      <w:r>
        <w:rPr>
          <w:rFonts w:ascii="黑体" w:hAnsi="黑体" w:eastAsia="黑体" w:cs="黑体"/>
          <w:b w:val="0"/>
          <w:szCs w:val="32"/>
        </w:rPr>
        <w:t>表3工业企业VOCs综合治理项目</w:t>
      </w:r>
    </w:p>
    <w:tbl>
      <w:tblPr>
        <w:tblStyle w:val="11"/>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92"/>
        <w:gridCol w:w="2780"/>
        <w:gridCol w:w="3261"/>
        <w:gridCol w:w="117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jc w:val="center"/>
              <w:rPr>
                <w:rFonts w:ascii="Times New Roman" w:hAnsi="Times New Roman" w:eastAsia="仿宋_GB2312"/>
                <w:b/>
                <w:szCs w:val="21"/>
              </w:rPr>
            </w:pPr>
            <w:r>
              <w:rPr>
                <w:rFonts w:ascii="Times New Roman" w:hAnsi="Times New Roman" w:eastAsia="仿宋_GB2312"/>
                <w:b/>
                <w:szCs w:val="21"/>
              </w:rPr>
              <w:t>序号</w:t>
            </w:r>
          </w:p>
        </w:tc>
        <w:tc>
          <w:tcPr>
            <w:tcW w:w="992" w:type="dxa"/>
            <w:noWrap/>
            <w:vAlign w:val="center"/>
          </w:tcPr>
          <w:p>
            <w:pPr>
              <w:jc w:val="center"/>
              <w:rPr>
                <w:rFonts w:ascii="Times New Roman" w:hAnsi="Times New Roman" w:eastAsia="仿宋_GB2312"/>
                <w:b/>
                <w:szCs w:val="21"/>
              </w:rPr>
            </w:pPr>
            <w:r>
              <w:rPr>
                <w:rFonts w:ascii="Times New Roman" w:hAnsi="Times New Roman" w:eastAsia="仿宋_GB2312"/>
                <w:b/>
                <w:szCs w:val="21"/>
              </w:rPr>
              <w:t>镇（区、街道）</w:t>
            </w:r>
          </w:p>
        </w:tc>
        <w:tc>
          <w:tcPr>
            <w:tcW w:w="2780" w:type="dxa"/>
            <w:noWrap/>
            <w:vAlign w:val="center"/>
          </w:tcPr>
          <w:p>
            <w:pPr>
              <w:jc w:val="center"/>
              <w:rPr>
                <w:rFonts w:ascii="Times New Roman" w:hAnsi="Times New Roman" w:eastAsia="仿宋_GB2312"/>
                <w:b/>
                <w:szCs w:val="21"/>
              </w:rPr>
            </w:pPr>
            <w:r>
              <w:rPr>
                <w:rFonts w:ascii="Times New Roman" w:hAnsi="Times New Roman" w:eastAsia="仿宋_GB2312"/>
                <w:b/>
                <w:szCs w:val="21"/>
              </w:rPr>
              <w:t>项目名称</w:t>
            </w:r>
          </w:p>
        </w:tc>
        <w:tc>
          <w:tcPr>
            <w:tcW w:w="3261" w:type="dxa"/>
            <w:noWrap/>
            <w:vAlign w:val="center"/>
          </w:tcPr>
          <w:p>
            <w:pPr>
              <w:jc w:val="center"/>
              <w:rPr>
                <w:rFonts w:ascii="Times New Roman" w:hAnsi="Times New Roman" w:eastAsia="仿宋_GB2312"/>
                <w:b/>
                <w:szCs w:val="21"/>
              </w:rPr>
            </w:pPr>
            <w:r>
              <w:rPr>
                <w:rFonts w:ascii="Times New Roman" w:hAnsi="Times New Roman" w:eastAsia="仿宋_GB2312"/>
                <w:b/>
                <w:szCs w:val="21"/>
              </w:rPr>
              <w:t>整治措施</w:t>
            </w:r>
          </w:p>
        </w:tc>
        <w:tc>
          <w:tcPr>
            <w:tcW w:w="1170" w:type="dxa"/>
            <w:noWrap/>
            <w:vAlign w:val="center"/>
          </w:tcPr>
          <w:p>
            <w:pPr>
              <w:jc w:val="center"/>
              <w:rPr>
                <w:rFonts w:ascii="Times New Roman" w:hAnsi="Times New Roman" w:eastAsia="仿宋_GB2312"/>
                <w:b/>
                <w:szCs w:val="21"/>
              </w:rPr>
            </w:pPr>
            <w:r>
              <w:rPr>
                <w:rFonts w:ascii="Times New Roman" w:hAnsi="Times New Roman" w:eastAsia="仿宋_GB2312"/>
                <w:b/>
                <w:szCs w:val="21"/>
              </w:rPr>
              <w:t>整治要求</w:t>
            </w:r>
          </w:p>
        </w:tc>
        <w:tc>
          <w:tcPr>
            <w:tcW w:w="869" w:type="dxa"/>
            <w:noWrap/>
            <w:vAlign w:val="center"/>
          </w:tcPr>
          <w:p>
            <w:pPr>
              <w:jc w:val="center"/>
              <w:rPr>
                <w:rFonts w:ascii="Times New Roman" w:hAnsi="Times New Roman" w:eastAsia="仿宋_GB2312"/>
                <w:b/>
                <w:szCs w:val="21"/>
              </w:rPr>
            </w:pPr>
            <w:r>
              <w:rPr>
                <w:rFonts w:ascii="Times New Roman" w:hAnsi="Times New Roman" w:eastAsia="仿宋_GB2312"/>
                <w:b/>
                <w:szCs w:val="21"/>
              </w:rPr>
              <w:t>序时进度要求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w:t>
            </w:r>
          </w:p>
        </w:tc>
        <w:tc>
          <w:tcPr>
            <w:tcW w:w="992"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掘港街道</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南通成德乳胶制品有限公司废气治理设施提标改造项目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水喷淋+等离子</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南通世纪东恒手套有限公司废气治理设施提标改造项目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增加一套废气冷却设施</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w:t>
            </w:r>
          </w:p>
        </w:tc>
        <w:tc>
          <w:tcPr>
            <w:tcW w:w="992" w:type="dxa"/>
            <w:vMerge w:val="restart"/>
            <w:noWrap/>
            <w:vAlign w:val="center"/>
          </w:tcPr>
          <w:p>
            <w:pPr>
              <w:jc w:val="center"/>
              <w:rPr>
                <w:rFonts w:ascii="Times New Roman" w:hAnsi="Times New Roman" w:eastAsia="方正仿宋_GBK"/>
                <w:szCs w:val="21"/>
              </w:rPr>
            </w:pPr>
            <w:r>
              <w:rPr>
                <w:rFonts w:ascii="Times New Roman" w:hAnsi="Times New Roman" w:eastAsia="方正仿宋_GBK"/>
                <w:szCs w:val="21"/>
              </w:rPr>
              <w:t>如东经济开发区</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江苏旭东机械有限公司浇铸工段废气治理项目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喷淋塔+UV光解+活性炭吸附</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南通陶美机械制造有限公司浇铸工段废气治理项目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喷淋塔、活性炭吸附</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南通沪乐铸造有限公司废气治理设施提标改造项目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喷淋塔、活性炭UV光解</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土平机械（江苏）有限公司浇筑及喷漆工段废气治理项目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水喷淋+UV光解+二级活性炭吸附</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7</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毕普帕罗洛江苏工程技术有限公司废气治理设施提标改造项目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废气管道改造、风机新增、活性灰箱更新</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8</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南通惠通石油机械有限公司浇筑及喷漆工段废气治理项目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UV光解、吸附棉、活性炭吸附</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9</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汇鸿（南通）安全用品有限公司VOCs深度治理项目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生产线翻新，产线烘箱密封</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10</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南通强生新材料科技股份有限公司VOCs深度治理项目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产线泡水过程密闭</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11</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南通强生新材料科技股份有限公司VOCs深度治理项目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PU硫化车间硫酸罐密闭改造，</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12</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南通强生新材料科技股份有限公司VOCs深度治理项目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补胶和凝固剂区域密闭</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13</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南通强生新材料科技股份有限公司VOCs深度治理项目</w:t>
            </w:r>
          </w:p>
        </w:tc>
        <w:tc>
          <w:tcPr>
            <w:tcW w:w="3261" w:type="dxa"/>
            <w:noWrap/>
            <w:vAlign w:val="center"/>
          </w:tcPr>
          <w:p>
            <w:pPr>
              <w:widowControl/>
              <w:ind w:firstLine="840" w:firstLineChars="400"/>
              <w:textAlignment w:val="center"/>
              <w:rPr>
                <w:rFonts w:ascii="Times New Roman" w:hAnsi="Times New Roman" w:eastAsia="方正仿宋_GBK"/>
                <w:szCs w:val="21"/>
              </w:rPr>
            </w:pPr>
            <w:r>
              <w:rPr>
                <w:rFonts w:ascii="Times New Roman" w:hAnsi="Times New Roman" w:eastAsia="方正仿宋_GBK"/>
                <w:szCs w:val="21"/>
              </w:rPr>
              <w:t>废气在线监控安装</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14</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鸿瀚防护科技南通有限公司废气治理设施提标改造项目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新建RTO</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15</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重通成飞风电设备江苏有限公司辊涂工段废气治理项目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在线监控2套</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16</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南通恒尚新材料科技有限公司废气治理设施提标改造项目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喷淋塔、二级活性炭纤维吸附脱附系统</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17</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江苏骏源新材料有限公司废气治理设施提标改造项目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新建RTO</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18</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南通东阳印染有限公司（七车间）高温定型机工段废气废气治理设施提标改造项目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再增加两套水喷淋除味</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19</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南通轩格新材料有限公司喷涂线环保设备提标改造项目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水旋、水淋、UV光氧、活性碳</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20</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江苏赛欧智能科技有限公司绿化综合养护作业车研发制造项目废气设施提标改造项目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干式过滤+光氧催化+活性炭吸附</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21</w:t>
            </w:r>
          </w:p>
        </w:tc>
        <w:tc>
          <w:tcPr>
            <w:tcW w:w="992" w:type="dxa"/>
            <w:vMerge w:val="restart"/>
            <w:noWrap/>
            <w:vAlign w:val="center"/>
          </w:tcPr>
          <w:p>
            <w:pPr>
              <w:jc w:val="center"/>
              <w:rPr>
                <w:rFonts w:ascii="Times New Roman" w:hAnsi="Times New Roman" w:eastAsia="方正仿宋_GBK"/>
                <w:szCs w:val="21"/>
              </w:rPr>
            </w:pPr>
            <w:r>
              <w:rPr>
                <w:rFonts w:ascii="Times New Roman" w:hAnsi="Times New Roman" w:eastAsia="方正仿宋_GBK"/>
                <w:szCs w:val="21"/>
              </w:rPr>
              <w:t>丰利镇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如东顺源手套有限公司废气治理设施提标改造项目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新增1套光氧催化装置</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22</w:t>
            </w:r>
          </w:p>
        </w:tc>
        <w:tc>
          <w:tcPr>
            <w:tcW w:w="992" w:type="dxa"/>
            <w:vMerge w:val="continue"/>
            <w:noWrap/>
            <w:vAlign w:val="center"/>
          </w:tcPr>
          <w:p>
            <w:pPr>
              <w:jc w:val="center"/>
              <w:rPr>
                <w:rFonts w:ascii="Times New Roman" w:hAnsi="Times New Roman" w:eastAsia="方正仿宋_GBK"/>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南通安迪手套有限公司废气治理设施提标改造项目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新上大功率活性炭吸附和水喷淋，并新增加光氧催化</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23</w:t>
            </w:r>
          </w:p>
        </w:tc>
        <w:tc>
          <w:tcPr>
            <w:tcW w:w="992" w:type="dxa"/>
            <w:vMerge w:val="continue"/>
            <w:noWrap/>
            <w:vAlign w:val="center"/>
          </w:tcPr>
          <w:p>
            <w:pPr>
              <w:jc w:val="center"/>
              <w:rPr>
                <w:rFonts w:ascii="Times New Roman" w:hAnsi="Times New Roman" w:eastAsia="方正仿宋_GBK"/>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如东凯鸿纺织制品有限公司废气治理设施提标改造项目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新建两套功率大的废气处理设施，水喷淋、光氧催化、活性炭吸附</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24</w:t>
            </w:r>
          </w:p>
        </w:tc>
        <w:tc>
          <w:tcPr>
            <w:tcW w:w="992" w:type="dxa"/>
            <w:vMerge w:val="restart"/>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洋口港</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爱森（如东）化工有限公司黄原酸盐仓库尾气处理设施改造项目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新增低温等离子体工业废气净化设备</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25</w:t>
            </w:r>
          </w:p>
        </w:tc>
        <w:tc>
          <w:tcPr>
            <w:tcW w:w="992" w:type="dxa"/>
            <w:vMerge w:val="continue"/>
            <w:noWrap/>
            <w:vAlign w:val="center"/>
          </w:tcPr>
          <w:p>
            <w:pPr>
              <w:widowControl/>
              <w:jc w:val="center"/>
              <w:textAlignment w:val="center"/>
              <w:rPr>
                <w:rFonts w:ascii="Times New Roman" w:hAnsi="Times New Roman" w:eastAsia="方正仿宋_GBK"/>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江苏威名新材料有限公司尼龙6主装置无组织收集改造项目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蓄热式焚烧+活性炭吸附</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26</w:t>
            </w:r>
          </w:p>
        </w:tc>
        <w:tc>
          <w:tcPr>
            <w:tcW w:w="992" w:type="dxa"/>
            <w:vMerge w:val="continue"/>
            <w:noWrap/>
            <w:vAlign w:val="center"/>
          </w:tcPr>
          <w:p>
            <w:pPr>
              <w:widowControl/>
              <w:jc w:val="center"/>
              <w:textAlignment w:val="center"/>
              <w:rPr>
                <w:rFonts w:ascii="Times New Roman" w:hAnsi="Times New Roman" w:eastAsia="方正仿宋_GBK"/>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南通第六元素材料科技有限公司废气治理设施提标改造项目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增加尾气处理设施</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27</w:t>
            </w:r>
          </w:p>
        </w:tc>
        <w:tc>
          <w:tcPr>
            <w:tcW w:w="992" w:type="dxa"/>
            <w:vMerge w:val="continue"/>
            <w:noWrap/>
            <w:vAlign w:val="center"/>
          </w:tcPr>
          <w:p>
            <w:pPr>
              <w:widowControl/>
              <w:jc w:val="center"/>
              <w:textAlignment w:val="center"/>
              <w:rPr>
                <w:rFonts w:ascii="Times New Roman" w:hAnsi="Times New Roman" w:eastAsia="方正仿宋_GBK"/>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万博新材料科技（南通）有限公司污水处理站尾气治理项目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进行无组织改维有组织收集后，依据己内酰胺特性，选用水洗塔收集VOCs后排放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28</w:t>
            </w:r>
          </w:p>
        </w:tc>
        <w:tc>
          <w:tcPr>
            <w:tcW w:w="992" w:type="dxa"/>
            <w:vMerge w:val="continue"/>
            <w:noWrap/>
            <w:vAlign w:val="center"/>
          </w:tcPr>
          <w:p>
            <w:pPr>
              <w:widowControl/>
              <w:jc w:val="center"/>
              <w:textAlignment w:val="center"/>
              <w:rPr>
                <w:rFonts w:ascii="Times New Roman" w:hAnsi="Times New Roman" w:eastAsia="方正仿宋_GBK"/>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博润生物科技南通有限公司RTO扩容更新项目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现有两级碱喷前增加水洗喷淋</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29</w:t>
            </w:r>
          </w:p>
        </w:tc>
        <w:tc>
          <w:tcPr>
            <w:tcW w:w="992" w:type="dxa"/>
            <w:vMerge w:val="restart"/>
            <w:noWrap/>
            <w:vAlign w:val="center"/>
          </w:tcPr>
          <w:p>
            <w:pPr>
              <w:jc w:val="center"/>
              <w:rPr>
                <w:rFonts w:ascii="Times New Roman" w:hAnsi="Times New Roman" w:eastAsia="方正仿宋_GBK"/>
                <w:szCs w:val="21"/>
              </w:rPr>
            </w:pPr>
            <w:r>
              <w:rPr>
                <w:rFonts w:ascii="Times New Roman" w:hAnsi="Times New Roman" w:eastAsia="方正仿宋_GBK"/>
                <w:szCs w:val="21"/>
              </w:rPr>
              <w:t>洋口镇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江苏东江环境服务有限公司危废仓库废气处理设施改造项目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增加危废仓库废气收集口数量，增大碱液喷淋塔，提升废气处理效果</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30</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江苏香地化学有限公司三氯氧磷分装改进项目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取消现有三氯氧磷分装模式，采用真空抽料及称重模块计量，减少灌装过程中废气的排放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31</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迈克斯（如东）化工有限公司DTP车间技改项目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DTP车间精制为重结晶工艺，有废乙醇母液产生；通过采用高真空蒸馏，减少废乙醇的产生，同时减少结晶工段废气的排放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32</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迈克斯（如东）化工有限公司DTP车间回用项目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在DTP车间新增超重力床对乙醇的回收套用，减少废气产生。</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33</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南通常佑药业科技有限公司VOCs处置提升项目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新增1套低沸点溶媒回收装置，通过低沸点溶媒回收装置以回收低沸点溶剂，减少废气排放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34</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南通凯塔化工科技有限公司废气再提升项目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加强无组织收集、规范收集管道，提升收集处理效率</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35</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南通泰禾化工股份有限公司废气系统升级改造项目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 xml:space="preserve">强化VOC有机废气收集、预处理、输送及末端治理设计诊断，并进行优化升级；   </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36</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南通泰禾化工股份有限公司废气系统升级改造项目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 xml:space="preserve">    对RTO炉系统升级改造</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37</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江苏九九久新材料厂区1号生产线尾气吸收塔提升改造项目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更换1号生产线新型尾气吸收塔，并对风机更新换代，增加无组织尾气收集管道，强化尾气收集处置</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38</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江苏九九久新材料厂区2号生产线尾气吸收塔提升改造项目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更换2号生产线新型尾气吸收塔，并对风机更新换代，增加无组织尾气收集管道，强化尾气收集处置</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39</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江苏九九久新材料厂区3号生产线尾气吸收塔提升改造项目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更换3号生产线新型尾气吸收塔，并对风机更新换代，增加无组织尾气收集管道，强化尾气收集处置</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40</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江苏九九久新材料厂区4号生产线尾气吸收塔提升改造项目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更换4号生产线新型尾气吸收塔，并对风机更新换代，增加无组织尾气收集管道，强化尾气收集处置</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41</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江苏九九久新材料厂区5号生产线尾气吸收塔提升改造项目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更换5号生产线新型尾气吸收塔，并对风机更新换代，增加无组织尾气收集管道，强化尾气收集处置</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42</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江苏九九久新材料厂区6号生产线尾气吸收塔提升改造项目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更换6号生产线新型尾气吸收塔，并对风机更新换代，增加无组织尾气收集管道，强化尾气收集处置</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43</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江苏九九久新材料厂区7号生产线尾气吸收塔提升改造项目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更换7号生产线新型尾气吸收塔，并对风机更新换代，增加无组织尾气收集管道，强化尾气收集处置</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44</w:t>
            </w:r>
          </w:p>
        </w:tc>
        <w:tc>
          <w:tcPr>
            <w:tcW w:w="992" w:type="dxa"/>
            <w:vMerge w:val="restart"/>
            <w:noWrap/>
            <w:vAlign w:val="center"/>
          </w:tcPr>
          <w:p>
            <w:pPr>
              <w:jc w:val="center"/>
              <w:rPr>
                <w:rFonts w:ascii="Times New Roman" w:hAnsi="Times New Roman" w:eastAsia="方正仿宋_GBK"/>
                <w:szCs w:val="21"/>
              </w:rPr>
            </w:pPr>
            <w:r>
              <w:rPr>
                <w:rFonts w:ascii="Times New Roman" w:hAnsi="Times New Roman" w:eastAsia="方正仿宋_GBK"/>
                <w:szCs w:val="21"/>
              </w:rPr>
              <w:t>洋口镇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江苏九九久新材料厂区8号生产线尾气吸收塔提升改造项目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更换8号生产线新型尾气吸收塔，并对风机更新换代，增加无组织尾气收集管道，强化尾气收集处置</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45</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如东众意化工有限公司废气预处理提升项目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增加两套废气喷淋塔，提升废气处置效率，减少排放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46</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江苏莱科作物保护有限公司废气处置升级项目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拟新增一套RTO炉</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47</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南通利奥化工科技有限公司尾气冷凝技改项目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对3,5联产车间尾气增加降膜吸收装置，减少废气排放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48</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江苏长青农化南通有限公司废气管网优化项目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厂区废气管网进一步优化改造，更换部分旧管道，减少废气泄露</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49</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南通市纳百园化工有限公司污水尾气塔改造项目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对污水站旧塔体更换，提升废气处理效能，减少排放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50</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江苏利田科技股份有限公司尾气处置改造项目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方案1新增树脂吸附脱附设施，以增加废气处置实效</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51</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南通沃兰化工有限公司废气提标改造项目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委托重新规划设计工业废气、统一规划，优先解决问题突出的部位、工段，提升全厂废气处置效能</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52</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南通高盟新材料有限公司污水站风管改造项目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整体将污水站风管更换为不锈钢风管，污水站废气收集重新规划，提升收集处置效率</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53</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江苏禾本生化有限公司环己烷回收项目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新增一套树脂吸附脱附装置用于回收环己烷尾气，减少废气排放</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54</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江苏瑞邦农化股份有限公司废气综合提升项目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新上废气治理RTO炉，提升全厂废气处理效能</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55</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南通紫琅生物医药科技有限公司聚氨酯卸料改造项目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改为泵浦卸料，较少卸料过程中废气的产生</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56</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南通罗森化工有限公司环保设施提升改造项目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新增一套RTO焚烧炉，用于环保治理提升</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57</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南通雅本化学有限公司污水站原水池盖板更换</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更换污水站各原水池盖板</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58</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南通雅本化学有限公司尾气收集系统改造</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增加2座洗涤塔及配套尾气收集管道</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59</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佳尔科生物科技南通有限公司二甲基亚砜废水回收项目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含二甲基亚砜废水进入污水站后，会生成甲硫醚，有恶臭，拟将该废水通过精馏塔，进一步回收废水中的二甲基亚砜，减少排放。</w:t>
            </w:r>
          </w:p>
        </w:tc>
        <w:tc>
          <w:tcPr>
            <w:tcW w:w="1170" w:type="dxa"/>
            <w:vMerge w:val="continue"/>
            <w:noWrap/>
            <w:vAlign w:val="center"/>
          </w:tcPr>
          <w:p>
            <w:pPr>
              <w:pStyle w:val="22"/>
              <w:spacing w:before="0" w:after="0" w:line="240" w:lineRule="auto"/>
              <w:ind w:firstLine="420"/>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60</w:t>
            </w:r>
          </w:p>
        </w:tc>
        <w:tc>
          <w:tcPr>
            <w:tcW w:w="992"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双甸镇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南通亚升安全用品有限公司浸胶手套VOCS末端治理设施升级改造项目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新建1套VOCs废气收集处理设施</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61</w:t>
            </w:r>
          </w:p>
        </w:tc>
        <w:tc>
          <w:tcPr>
            <w:tcW w:w="992"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 xml:space="preserve">南通嘉得利劳保用品有限公司套VOCS末端治理设施升级改造 </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新建1套VOCs废气收集处理设施</w:t>
            </w:r>
          </w:p>
        </w:tc>
        <w:tc>
          <w:tcPr>
            <w:tcW w:w="1170"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62</w:t>
            </w:r>
          </w:p>
        </w:tc>
        <w:tc>
          <w:tcPr>
            <w:tcW w:w="99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河口镇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如东旺达塑料厂废气处理设施提标改造</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新建水喷淋+活性炭吸附设施</w:t>
            </w:r>
          </w:p>
        </w:tc>
        <w:tc>
          <w:tcPr>
            <w:tcW w:w="1170"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63</w:t>
            </w:r>
          </w:p>
        </w:tc>
        <w:tc>
          <w:tcPr>
            <w:tcW w:w="992"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曹埠镇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如东县永旺涂层厂废气深度治理项目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强化生产线封闭加强无组织废气收集，拟增加等离子废气处理设施</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22" w:type="dxa"/>
            <w:noWrap/>
            <w:vAlign w:val="center"/>
          </w:tcPr>
          <w:p>
            <w:pPr>
              <w:jc w:val="center"/>
              <w:rPr>
                <w:rFonts w:ascii="Times New Roman" w:hAnsi="Times New Roman" w:eastAsia="方正仿宋_GBK"/>
                <w:szCs w:val="21"/>
              </w:rPr>
            </w:pPr>
            <w:r>
              <w:rPr>
                <w:rFonts w:ascii="Times New Roman" w:hAnsi="Times New Roman" w:eastAsia="方正仿宋_GBK"/>
                <w:szCs w:val="21"/>
              </w:rPr>
              <w:t>64</w:t>
            </w:r>
          </w:p>
        </w:tc>
        <w:tc>
          <w:tcPr>
            <w:tcW w:w="992" w:type="dxa"/>
            <w:vMerge w:val="continue"/>
            <w:noWrap/>
            <w:vAlign w:val="center"/>
          </w:tcPr>
          <w:p>
            <w:pPr>
              <w:jc w:val="center"/>
              <w:rPr>
                <w:rFonts w:ascii="Times New Roman" w:hAnsi="Times New Roman" w:eastAsia="方正仿宋_GBK"/>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如东桑尼劳护用品有限公司废气深度治理项目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扩大风机功率，增加收集效率</w:t>
            </w:r>
          </w:p>
        </w:tc>
        <w:tc>
          <w:tcPr>
            <w:tcW w:w="1170" w:type="dxa"/>
            <w:vMerge w:val="continue"/>
            <w:noWrap/>
            <w:vAlign w:val="center"/>
          </w:tcPr>
          <w:p>
            <w:pPr>
              <w:jc w:val="center"/>
              <w:rPr>
                <w:rFonts w:ascii="Times New Roman" w:hAnsi="Times New Roman" w:eastAsia="方正仿宋_GBK"/>
                <w:szCs w:val="21"/>
              </w:rPr>
            </w:pPr>
          </w:p>
        </w:tc>
        <w:tc>
          <w:tcPr>
            <w:tcW w:w="869" w:type="dxa"/>
            <w:vMerge w:val="continue"/>
            <w:noWrap/>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65</w:t>
            </w:r>
          </w:p>
        </w:tc>
        <w:tc>
          <w:tcPr>
            <w:tcW w:w="992"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马塘镇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如东恒宇食品机械有限公司刮腻子车间废气提升改造项目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刮腻子车间废气收集</w:t>
            </w:r>
          </w:p>
        </w:tc>
        <w:tc>
          <w:tcPr>
            <w:tcW w:w="1170" w:type="dxa"/>
            <w:vMerge w:val="restart"/>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vMerge w:val="restart"/>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66</w:t>
            </w:r>
          </w:p>
        </w:tc>
        <w:tc>
          <w:tcPr>
            <w:tcW w:w="992"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如东日之升劳护用品有限公司废气处理设施提标改造项目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增加一套水喷淋装置</w:t>
            </w:r>
          </w:p>
        </w:tc>
        <w:tc>
          <w:tcPr>
            <w:tcW w:w="1170"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67</w:t>
            </w:r>
          </w:p>
        </w:tc>
        <w:tc>
          <w:tcPr>
            <w:tcW w:w="992"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如东银海彩印包装有限公司废气综合治理项目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新建活性炭吸附装置</w:t>
            </w:r>
          </w:p>
        </w:tc>
        <w:tc>
          <w:tcPr>
            <w:tcW w:w="1170"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68</w:t>
            </w:r>
          </w:p>
        </w:tc>
        <w:tc>
          <w:tcPr>
            <w:tcW w:w="992"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南通雄鹰涂料有限公司涉VOCs生产线密闭项目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对产生VOCs生产线进行密闭</w:t>
            </w:r>
          </w:p>
        </w:tc>
        <w:tc>
          <w:tcPr>
            <w:tcW w:w="1170"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69</w:t>
            </w:r>
          </w:p>
        </w:tc>
        <w:tc>
          <w:tcPr>
            <w:tcW w:w="992"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如东县永利劳护有限公司废气处理设施提标改造项目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增加二级水喷淋装置</w:t>
            </w:r>
          </w:p>
        </w:tc>
        <w:tc>
          <w:tcPr>
            <w:tcW w:w="1170" w:type="dxa"/>
            <w:vMerge w:val="continue"/>
            <w:noWrap/>
            <w:vAlign w:val="center"/>
          </w:tcPr>
          <w:p>
            <w:pPr>
              <w:pStyle w:val="22"/>
              <w:spacing w:before="0" w:after="0" w:line="240" w:lineRule="auto"/>
              <w:ind w:firstLine="420"/>
              <w:jc w:val="center"/>
              <w:rPr>
                <w:rFonts w:ascii="Times New Roman" w:hAnsi="Times New Roman"/>
                <w:b w:val="0"/>
                <w:sz w:val="21"/>
                <w:szCs w:val="21"/>
              </w:rPr>
            </w:pPr>
          </w:p>
        </w:tc>
        <w:tc>
          <w:tcPr>
            <w:tcW w:w="869" w:type="dxa"/>
            <w:vMerge w:val="continue"/>
            <w:noWrap/>
            <w:vAlign w:val="center"/>
          </w:tcPr>
          <w:p>
            <w:pPr>
              <w:pStyle w:val="22"/>
              <w:spacing w:before="0" w:after="0" w:line="240" w:lineRule="auto"/>
              <w:ind w:firstLine="420"/>
              <w:jc w:val="center"/>
              <w:rPr>
                <w:rFonts w:ascii="Times New Roman" w:hAnsi="Times New Roman"/>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70</w:t>
            </w:r>
          </w:p>
        </w:tc>
        <w:tc>
          <w:tcPr>
            <w:tcW w:w="992"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栟茶镇</w:t>
            </w:r>
          </w:p>
        </w:tc>
        <w:tc>
          <w:tcPr>
            <w:tcW w:w="2780"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南通中旺包装材料有限公司废气治理设施提标改造项目</w:t>
            </w:r>
          </w:p>
        </w:tc>
        <w:tc>
          <w:tcPr>
            <w:tcW w:w="3261" w:type="dxa"/>
            <w:noWrap/>
            <w:vAlign w:val="center"/>
          </w:tcPr>
          <w:p>
            <w:pPr>
              <w:widowControl/>
              <w:jc w:val="center"/>
              <w:textAlignment w:val="center"/>
              <w:rPr>
                <w:rFonts w:ascii="Times New Roman" w:hAnsi="Times New Roman" w:eastAsia="方正仿宋_GBK"/>
                <w:szCs w:val="21"/>
              </w:rPr>
            </w:pPr>
            <w:r>
              <w:rPr>
                <w:rFonts w:ascii="Times New Roman" w:hAnsi="Times New Roman" w:eastAsia="方正仿宋_GBK"/>
                <w:szCs w:val="21"/>
              </w:rPr>
              <w:t>安装废气治理设施</w:t>
            </w:r>
          </w:p>
        </w:tc>
        <w:tc>
          <w:tcPr>
            <w:tcW w:w="1170" w:type="dxa"/>
            <w:noWrap/>
            <w:vAlign w:val="center"/>
          </w:tcPr>
          <w:p>
            <w:pPr>
              <w:pStyle w:val="22"/>
              <w:spacing w:before="0" w:after="0" w:line="240" w:lineRule="auto"/>
              <w:ind w:firstLine="0" w:firstLineChars="0"/>
              <w:jc w:val="center"/>
              <w:rPr>
                <w:rFonts w:ascii="Times New Roman" w:hAnsi="Times New Roman"/>
                <w:b w:val="0"/>
                <w:sz w:val="21"/>
                <w:szCs w:val="21"/>
              </w:rPr>
            </w:pPr>
            <w:r>
              <w:rPr>
                <w:rFonts w:ascii="Times New Roman" w:hAnsi="Times New Roman"/>
                <w:b w:val="0"/>
                <w:sz w:val="21"/>
                <w:szCs w:val="21"/>
              </w:rPr>
              <w:t>新、改建废气污染治理设施，满足相关排放要求</w:t>
            </w:r>
          </w:p>
        </w:tc>
        <w:tc>
          <w:tcPr>
            <w:tcW w:w="869" w:type="dxa"/>
            <w:noWrap/>
            <w:vAlign w:val="center"/>
          </w:tcPr>
          <w:p>
            <w:pPr>
              <w:pStyle w:val="22"/>
              <w:spacing w:before="0" w:after="0" w:line="240" w:lineRule="auto"/>
              <w:ind w:firstLine="0" w:firstLineChars="0"/>
              <w:jc w:val="center"/>
              <w:rPr>
                <w:rFonts w:ascii="Times New Roman" w:hAnsi="Times New Roman"/>
                <w:b w:val="0"/>
                <w:snapToGrid w:val="0"/>
                <w:kern w:val="0"/>
                <w:sz w:val="21"/>
                <w:szCs w:val="21"/>
              </w:rPr>
            </w:pPr>
            <w:r>
              <w:rPr>
                <w:rFonts w:ascii="Times New Roman" w:hAnsi="Times New Roman"/>
                <w:b w:val="0"/>
                <w:sz w:val="21"/>
                <w:szCs w:val="21"/>
              </w:rPr>
              <w:t>2022年9月底前</w:t>
            </w:r>
          </w:p>
        </w:tc>
      </w:tr>
    </w:tbl>
    <w:p>
      <w:pPr>
        <w:pStyle w:val="22"/>
        <w:spacing w:before="0" w:after="0" w:line="580" w:lineRule="exact"/>
        <w:ind w:firstLine="0" w:firstLineChars="0"/>
        <w:rPr>
          <w:rFonts w:ascii="Times New Roman" w:hAnsi="Times New Roman"/>
          <w:sz w:val="28"/>
          <w:szCs w:val="28"/>
        </w:rPr>
        <w:sectPr>
          <w:pgSz w:w="11907" w:h="16840"/>
          <w:pgMar w:top="2098" w:right="1531" w:bottom="1758" w:left="1531" w:header="850" w:footer="1474" w:gutter="0"/>
          <w:pgNumType w:fmt="numberInDash"/>
          <w:cols w:space="720" w:num="1"/>
          <w:docGrid w:linePitch="360" w:charSpace="0"/>
        </w:sectPr>
      </w:pPr>
    </w:p>
    <w:p>
      <w:pPr>
        <w:pStyle w:val="22"/>
        <w:spacing w:before="0" w:after="0" w:line="580" w:lineRule="exact"/>
        <w:ind w:firstLine="0" w:firstLineChars="0"/>
        <w:jc w:val="center"/>
        <w:rPr>
          <w:rFonts w:ascii="黑体" w:hAnsi="黑体" w:eastAsia="黑体" w:cs="黑体"/>
          <w:b w:val="0"/>
          <w:szCs w:val="32"/>
        </w:rPr>
      </w:pPr>
      <w:r>
        <w:rPr>
          <w:rFonts w:ascii="黑体" w:hAnsi="黑体" w:eastAsia="黑体" w:cs="黑体"/>
          <w:b w:val="0"/>
          <w:szCs w:val="32"/>
        </w:rPr>
        <w:t>表4国一及以下非道路移动机械淘汰项目</w:t>
      </w:r>
    </w:p>
    <w:tbl>
      <w:tblPr>
        <w:tblStyle w:val="12"/>
        <w:tblW w:w="983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9"/>
        <w:gridCol w:w="1011"/>
        <w:gridCol w:w="1270"/>
        <w:gridCol w:w="1363"/>
        <w:gridCol w:w="953"/>
        <w:gridCol w:w="2060"/>
        <w:gridCol w:w="1074"/>
        <w:gridCol w:w="1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549"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序号</w:t>
            </w:r>
          </w:p>
        </w:tc>
        <w:tc>
          <w:tcPr>
            <w:tcW w:w="1011"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类型</w:t>
            </w:r>
          </w:p>
        </w:tc>
        <w:tc>
          <w:tcPr>
            <w:tcW w:w="1270"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排放阶段</w:t>
            </w:r>
          </w:p>
        </w:tc>
        <w:tc>
          <w:tcPr>
            <w:tcW w:w="1363"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编码</w:t>
            </w:r>
          </w:p>
        </w:tc>
        <w:tc>
          <w:tcPr>
            <w:tcW w:w="953"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发放</w:t>
            </w:r>
          </w:p>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状态</w:t>
            </w:r>
          </w:p>
        </w:tc>
        <w:tc>
          <w:tcPr>
            <w:tcW w:w="2060"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所属公司名称</w:t>
            </w:r>
          </w:p>
        </w:tc>
        <w:tc>
          <w:tcPr>
            <w:tcW w:w="1074"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镇（区、街道）</w:t>
            </w:r>
          </w:p>
        </w:tc>
        <w:tc>
          <w:tcPr>
            <w:tcW w:w="1551" w:type="dxa"/>
            <w:vAlign w:val="center"/>
          </w:tcPr>
          <w:p>
            <w:pPr>
              <w:pStyle w:val="22"/>
              <w:spacing w:before="0" w:after="0" w:line="240" w:lineRule="auto"/>
              <w:ind w:firstLine="0" w:firstLineChars="0"/>
              <w:jc w:val="center"/>
              <w:rPr>
                <w:rFonts w:ascii="Times New Roman" w:hAnsi="Times New Roman"/>
                <w:bCs/>
                <w:sz w:val="21"/>
                <w:szCs w:val="21"/>
              </w:rPr>
            </w:pPr>
            <w:r>
              <w:rPr>
                <w:rFonts w:ascii="Times New Roman" w:hAnsi="Times New Roman"/>
                <w:bCs/>
                <w:sz w:val="21"/>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w:t>
            </w:r>
          </w:p>
        </w:tc>
        <w:tc>
          <w:tcPr>
            <w:tcW w:w="1011"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叉车</w:t>
            </w:r>
          </w:p>
        </w:tc>
        <w:tc>
          <w:tcPr>
            <w:tcW w:w="1270"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国Ⅰ及以下</w:t>
            </w:r>
          </w:p>
        </w:tc>
        <w:tc>
          <w:tcPr>
            <w:tcW w:w="1363"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1-AFG00053</w:t>
            </w:r>
          </w:p>
        </w:tc>
        <w:tc>
          <w:tcPr>
            <w:tcW w:w="953"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已发放</w:t>
            </w:r>
          </w:p>
        </w:tc>
        <w:tc>
          <w:tcPr>
            <w:tcW w:w="2060"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国网江苏省电力有限公司如东县供电分公司</w:t>
            </w:r>
          </w:p>
        </w:tc>
        <w:tc>
          <w:tcPr>
            <w:tcW w:w="1074"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掘港街道</w:t>
            </w:r>
          </w:p>
        </w:tc>
        <w:tc>
          <w:tcPr>
            <w:tcW w:w="1551" w:type="dxa"/>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18261917959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江苏刚正薄板科技有限公司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15896264613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江苏国信如东生物质发电有限公司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18862778800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江苏国信如东生物质发电有限公司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18862778800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江苏国信如东生物质发电有限公司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18862778800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1-AFG00050</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江苏黄海汽配股份有限公司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13511599988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江苏黄海汽配股份有限公司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13511599988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江苏祥盛倍得满家具有限公司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13773781816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南通百祥预制构件有限公司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13813620154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1-AFG00082</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平地机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1-AFG00083</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1-AFG00089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1-AFG00090</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1-AFG00092</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1-AFG00093</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1-AFG0000A</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1-AFG0000B</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29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1-AFG0000C</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1-AFG0000D</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1-AFG0000E</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1-AFG0000F</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南通大通建设工程有限公司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13962840028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挖掘机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南通东元建筑安装工程有限公司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15951418055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南通红顺新能源科技有限公司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18862778800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南通红顺新能源科技有限公司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18862778800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南通红顺新能源科技有限公司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18862778800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南通辉煌彩色钢板有限公司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15896264603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未发放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南通辉煌彩色钢板有限公司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15896264613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39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南通辉煌彩色钢板有限公司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15896264613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1-AFG00030</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南通莱斯印务有限公司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13511595288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南通炫昱实业有限公司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15190965600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1-AFG00052</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南通炫昱实业有限公司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15190965600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1-AFG00033</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南通艺林阁家具有限公司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13962793799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1-AFG0001P</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南通正大有限公司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15862864588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1-AFG0001Q</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南通正大有限公司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15862864588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1-AFG0001R</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南通正大有限公司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15862864588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1-AFG0001S</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南通正大有限公司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15862864588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1-AFG0001T</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南通正大有限公司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15862864588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49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1-AFG0001U</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南通正大有限公司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15862864588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1-AFG0001B</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如东海琴建材有限公司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13485176777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摊铺机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摊铺机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1-AFG00042</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1-AFG00040</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摊铺机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挖掘机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59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推土机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69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1-AFG00012</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1-AFG00013</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推土机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1-AFG00010</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1-AFG00003</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79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1-AFG00002</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如东县交通工程有限责任公司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13382375281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1-AFG00063</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如东县掘港供销有限责任公司</w:t>
            </w:r>
            <w:r>
              <w:rPr>
                <w:rFonts w:ascii="Times New Roman" w:hAnsi="Times New Roman" w:eastAsia="方正仿宋_GBK"/>
                <w:bCs/>
                <w:szCs w:val="21"/>
              </w:rPr>
              <w:t>废品收购分公司</w:t>
            </w:r>
            <w:bookmarkStart w:id="1" w:name="_GoBack"/>
            <w:bookmarkEnd w:id="1"/>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13016782157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如东县练大钢结构有限公司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13906272223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1-AFG00054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如东永晟实业有限公司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18261917959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84</w:t>
            </w:r>
          </w:p>
        </w:tc>
        <w:tc>
          <w:tcPr>
            <w:tcW w:w="1011" w:type="dxa"/>
            <w:vAlign w:val="center"/>
          </w:tcPr>
          <w:p>
            <w:pPr>
              <w:widowControl/>
              <w:jc w:val="center"/>
              <w:textAlignment w:val="center"/>
              <w:rPr>
                <w:rFonts w:ascii="Times New Roman" w:hAnsi="Times New Roman" w:eastAsia="方正仿宋_GBK"/>
                <w:bCs/>
                <w:szCs w:val="21"/>
              </w:rPr>
            </w:pP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1-AFG0002G</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南通建都建设工程有限公司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掘港掘港</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15190963527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85</w:t>
            </w:r>
          </w:p>
        </w:tc>
        <w:tc>
          <w:tcPr>
            <w:tcW w:w="1011" w:type="dxa"/>
            <w:vAlign w:val="center"/>
          </w:tcPr>
          <w:p>
            <w:pPr>
              <w:widowControl/>
              <w:jc w:val="center"/>
              <w:textAlignment w:val="center"/>
              <w:rPr>
                <w:rFonts w:ascii="Times New Roman" w:hAnsi="Times New Roman" w:eastAsia="方正仿宋_GBK"/>
                <w:bCs/>
                <w:szCs w:val="21"/>
              </w:rPr>
            </w:pP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1-AFG0002H</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南通建都建设工程有限公司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掘港掘港</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15190963527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南通吉信水利工程有限公司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13776955558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平地机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1-AFG0001G</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摊铺机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89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1-AFG00075</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1-AFG00077</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压路机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1-AFG0001D</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南通市东路工程养护有限公司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城中街道</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13228833712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1-AFG00046</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艾梦迪木业（南通）有限公司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13656291918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1-AFG00048</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汇鸿（南通）安全用品有限公司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15962994409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1-AFG0000X</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江苏恒辉安防股份有限公司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13951328512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1-AFG00062</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江苏诺德新材料股份有限公司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15151336231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99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1-AFG00043</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江苏如东联丰石油机械有限公司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15906271188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1-AFG0000K</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1-AFG0000L</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1-AFG0000M</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1-AFG0000N</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1-AFG0000R</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1-AFG0000Q</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1-AFG0000P</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1-AFG0000S</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江苏如通石油机械股份有限公司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13016782094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1-AFG00034</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南通科赛尔机械有限公司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13773780819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109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未发放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南通强生安全防护科技股份有限公司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13912425665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1-AFG00070</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南通亿能彩钢板有限公司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13584604747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未发放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如东骏富新型建材有限公司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13951418184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1-AFG00031</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赛立特（南通）安全用品有限公司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18761752787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1-AFG0001E</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东力（南通）化工有限公司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15962713587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未发放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江苏利田科技股份有限公司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15851313547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未发放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江苏利田科技股份有限公司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15851313547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未发放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江苏利田科技股份有限公司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15851313547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1-AFG0000H</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江苏琦衡农化科技有限公司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15370472036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1-AFG0001F</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江苏亚泰化工有限公司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18251351423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119</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1-AFG0001X</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江苏优嘉植物保护有限公司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18051621571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120</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1-AFG0001Y</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江苏优嘉植物保护有限公司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18051621571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121</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1-AFG0001W</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江苏优嘉植物保护有限公司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18051621571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122</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1-AFG0001V</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江苏优嘉植物保护有限公司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18051621571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123</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1-AFG00099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江苏长青农化南通有限公司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18705252432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124</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1-AFG00069</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经纬精细（南通）有限公司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18751360995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125</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其它</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未发放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南通恒盛精细化工有限公司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15996622163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126</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1-AFG0001K</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南通泰禾化工股份有限公司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13584616615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127</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叉车</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1-AFG0001L</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南通泰禾化工股份有限公司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13912418201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128</w:t>
            </w:r>
          </w:p>
        </w:tc>
        <w:tc>
          <w:tcPr>
            <w:tcW w:w="101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装卸机</w:t>
            </w:r>
          </w:p>
        </w:tc>
        <w:tc>
          <w:tcPr>
            <w:tcW w:w="127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国Ⅰ及以下</w:t>
            </w:r>
          </w:p>
        </w:tc>
        <w:tc>
          <w:tcPr>
            <w:tcW w:w="136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1-AFG0000T</w:t>
            </w:r>
          </w:p>
        </w:tc>
        <w:tc>
          <w:tcPr>
            <w:tcW w:w="953"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已发放</w:t>
            </w:r>
          </w:p>
        </w:tc>
        <w:tc>
          <w:tcPr>
            <w:tcW w:w="2060"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南通洋口建设工程有限公司</w:t>
            </w:r>
          </w:p>
        </w:tc>
        <w:tc>
          <w:tcPr>
            <w:tcW w:w="1074"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沿海经济开发区</w:t>
            </w:r>
          </w:p>
        </w:tc>
        <w:tc>
          <w:tcPr>
            <w:tcW w:w="1551" w:type="dxa"/>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13186533558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31" w:type="dxa"/>
            <w:gridSpan w:val="8"/>
            <w:vAlign w:val="center"/>
          </w:tcPr>
          <w:p>
            <w:pPr>
              <w:pStyle w:val="22"/>
              <w:spacing w:before="0" w:after="0" w:line="240" w:lineRule="auto"/>
              <w:ind w:firstLine="0" w:firstLineChars="0"/>
              <w:rPr>
                <w:rFonts w:ascii="Times New Roman" w:hAnsi="Times New Roman"/>
                <w:sz w:val="21"/>
                <w:szCs w:val="21"/>
              </w:rPr>
            </w:pPr>
            <w:r>
              <w:rPr>
                <w:rFonts w:ascii="Times New Roman" w:hAnsi="Times New Roman" w:eastAsia="仿宋_GB2312"/>
                <w:b w:val="0"/>
                <w:sz w:val="21"/>
                <w:szCs w:val="21"/>
              </w:rPr>
              <w:t>注：以上清单仅供参考，更新淘汰100辆国一及以下非道可以不限于以上清单内</w:t>
            </w:r>
          </w:p>
        </w:tc>
      </w:tr>
    </w:tbl>
    <w:p>
      <w:pPr>
        <w:pStyle w:val="22"/>
        <w:spacing w:before="0" w:after="0" w:line="520" w:lineRule="exact"/>
        <w:ind w:firstLine="0" w:firstLineChars="0"/>
        <w:rPr>
          <w:rFonts w:ascii="Times New Roman" w:hAnsi="Times New Roman" w:eastAsia="方正小标宋_GBK"/>
          <w:b w:val="0"/>
          <w:snapToGrid w:val="0"/>
          <w:kern w:val="0"/>
          <w:szCs w:val="32"/>
        </w:rPr>
        <w:sectPr>
          <w:pgSz w:w="11907" w:h="16840"/>
          <w:pgMar w:top="2098" w:right="1531" w:bottom="1758" w:left="1531" w:header="850" w:footer="1474" w:gutter="0"/>
          <w:pgNumType w:fmt="numberInDash"/>
          <w:cols w:space="720" w:num="1"/>
          <w:docGrid w:linePitch="360" w:charSpace="0"/>
        </w:sectPr>
      </w:pPr>
    </w:p>
    <w:p>
      <w:pPr>
        <w:pStyle w:val="22"/>
        <w:spacing w:before="0" w:after="0" w:line="580" w:lineRule="exact"/>
        <w:ind w:firstLine="0" w:firstLineChars="0"/>
        <w:jc w:val="center"/>
        <w:rPr>
          <w:rFonts w:ascii="黑体" w:hAnsi="黑体" w:eastAsia="黑体" w:cs="黑体"/>
          <w:b w:val="0"/>
          <w:szCs w:val="32"/>
        </w:rPr>
      </w:pPr>
      <w:r>
        <w:rPr>
          <w:rFonts w:ascii="黑体" w:hAnsi="黑体" w:eastAsia="黑体" w:cs="黑体"/>
          <w:b w:val="0"/>
          <w:szCs w:val="32"/>
        </w:rPr>
        <w:t>表5餐饮油烟治理项目</w:t>
      </w:r>
    </w:p>
    <w:tbl>
      <w:tblPr>
        <w:tblStyle w:val="11"/>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103"/>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76" w:type="dxa"/>
            <w:noWrap/>
            <w:vAlign w:val="center"/>
          </w:tcPr>
          <w:p>
            <w:pPr>
              <w:jc w:val="center"/>
              <w:rPr>
                <w:rFonts w:ascii="Times New Roman" w:hAnsi="Times New Roman" w:eastAsia="方正仿宋_GBK"/>
                <w:b/>
                <w:szCs w:val="21"/>
              </w:rPr>
            </w:pPr>
            <w:r>
              <w:rPr>
                <w:rFonts w:ascii="Times New Roman" w:hAnsi="Times New Roman" w:eastAsia="方正仿宋_GBK"/>
                <w:b/>
                <w:szCs w:val="21"/>
              </w:rPr>
              <w:t>镇（区、街道）</w:t>
            </w:r>
          </w:p>
        </w:tc>
        <w:tc>
          <w:tcPr>
            <w:tcW w:w="5103" w:type="dxa"/>
            <w:noWrap/>
            <w:vAlign w:val="center"/>
          </w:tcPr>
          <w:p>
            <w:pPr>
              <w:jc w:val="center"/>
              <w:rPr>
                <w:rFonts w:ascii="Times New Roman" w:hAnsi="Times New Roman" w:eastAsia="方正仿宋_GBK"/>
                <w:b/>
                <w:szCs w:val="21"/>
              </w:rPr>
            </w:pPr>
            <w:r>
              <w:rPr>
                <w:rFonts w:ascii="Times New Roman" w:hAnsi="Times New Roman" w:eastAsia="方正仿宋_GBK"/>
                <w:b/>
                <w:szCs w:val="21"/>
              </w:rPr>
              <w:t>单位（项目）名称</w:t>
            </w:r>
          </w:p>
        </w:tc>
        <w:tc>
          <w:tcPr>
            <w:tcW w:w="1701" w:type="dxa"/>
            <w:noWrap/>
            <w:vAlign w:val="center"/>
          </w:tcPr>
          <w:p>
            <w:pPr>
              <w:jc w:val="center"/>
              <w:rPr>
                <w:rFonts w:ascii="Times New Roman" w:hAnsi="Times New Roman" w:eastAsia="方正仿宋_GBK"/>
                <w:b/>
                <w:szCs w:val="21"/>
              </w:rPr>
            </w:pPr>
            <w:r>
              <w:rPr>
                <w:rFonts w:ascii="Times New Roman" w:hAnsi="Times New Roman" w:eastAsia="方正仿宋_GBK"/>
                <w:b/>
                <w:szCs w:val="21"/>
              </w:rPr>
              <w:t>整治措施</w:t>
            </w:r>
          </w:p>
        </w:tc>
        <w:tc>
          <w:tcPr>
            <w:tcW w:w="1134" w:type="dxa"/>
            <w:noWrap/>
            <w:vAlign w:val="center"/>
          </w:tcPr>
          <w:p>
            <w:pPr>
              <w:jc w:val="center"/>
              <w:rPr>
                <w:rFonts w:ascii="Times New Roman" w:hAnsi="Times New Roman" w:eastAsia="方正仿宋_GBK"/>
                <w:b/>
                <w:szCs w:val="21"/>
              </w:rPr>
            </w:pPr>
            <w:r>
              <w:rPr>
                <w:rFonts w:ascii="Times New Roman" w:hAnsi="Times New Roman" w:eastAsia="方正仿宋_GBK"/>
                <w:b/>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76" w:type="dxa"/>
            <w:noWrap/>
            <w:vAlign w:val="center"/>
          </w:tcPr>
          <w:p>
            <w:pPr>
              <w:jc w:val="center"/>
              <w:rPr>
                <w:rFonts w:ascii="Times New Roman" w:hAnsi="Times New Roman" w:eastAsia="方正仿宋_GBK"/>
                <w:szCs w:val="21"/>
              </w:rPr>
            </w:pPr>
            <w:r>
              <w:rPr>
                <w:rFonts w:ascii="Times New Roman" w:hAnsi="Times New Roman" w:eastAsia="方正仿宋_GBK"/>
                <w:szCs w:val="21"/>
              </w:rPr>
              <w:t>掘港街道</w:t>
            </w:r>
          </w:p>
        </w:tc>
        <w:tc>
          <w:tcPr>
            <w:tcW w:w="5103" w:type="dxa"/>
            <w:noWrap/>
            <w:vAlign w:val="center"/>
          </w:tcPr>
          <w:p>
            <w:pPr>
              <w:rPr>
                <w:rFonts w:ascii="Times New Roman" w:hAnsi="Times New Roman" w:eastAsia="方正仿宋_GBK"/>
                <w:szCs w:val="21"/>
              </w:rPr>
            </w:pPr>
            <w:r>
              <w:rPr>
                <w:rFonts w:ascii="Times New Roman" w:hAnsi="Times New Roman" w:eastAsia="方正仿宋_GBK"/>
                <w:szCs w:val="21"/>
              </w:rPr>
              <w:t>锦丰菜馆、芳泉鱼头馆、巴爷、镇江锅盖面、徐记牛杂馆（如东杨根花牛杂馆）、兰州拉面、川味菜馆、西凤酒家、百基拉、八方客、华莱士、舅婆家、新客乐酒楼、机关幼儿园食堂、掘港幼儿园、邮政储蓄银行、南京银行、如东中禾精菜馆、兰州拉面、如东霞儿面馆</w:t>
            </w:r>
          </w:p>
        </w:tc>
        <w:tc>
          <w:tcPr>
            <w:tcW w:w="1701" w:type="dxa"/>
            <w:vMerge w:val="restart"/>
            <w:noWrap/>
            <w:vAlign w:val="center"/>
          </w:tcPr>
          <w:p>
            <w:pPr>
              <w:rPr>
                <w:rFonts w:ascii="Times New Roman" w:hAnsi="Times New Roman" w:eastAsia="方正仿宋_GBK"/>
                <w:szCs w:val="21"/>
              </w:rPr>
            </w:pPr>
            <w:r>
              <w:rPr>
                <w:rFonts w:ascii="Times New Roman" w:hAnsi="Times New Roman" w:eastAsia="方正仿宋_GBK"/>
                <w:szCs w:val="21"/>
              </w:rPr>
              <w:t>安装油烟净化设施，并保持正常运行或安装在线监控</w:t>
            </w:r>
          </w:p>
        </w:tc>
        <w:tc>
          <w:tcPr>
            <w:tcW w:w="1134" w:type="dxa"/>
            <w:vMerge w:val="restart"/>
            <w:noWrap/>
            <w:vAlign w:val="center"/>
          </w:tcPr>
          <w:p>
            <w:pPr>
              <w:jc w:val="center"/>
              <w:rPr>
                <w:rFonts w:ascii="Times New Roman" w:hAnsi="Times New Roman" w:eastAsia="方正仿宋_GBK"/>
                <w:szCs w:val="21"/>
              </w:rPr>
            </w:pPr>
            <w:r>
              <w:rPr>
                <w:rFonts w:ascii="Times New Roman" w:hAnsi="Times New Roman" w:eastAsia="方正仿宋_GBK"/>
                <w:szCs w:val="21"/>
              </w:rPr>
              <w:t>2022年9月</w:t>
            </w:r>
          </w:p>
          <w:p>
            <w:pPr>
              <w:jc w:val="center"/>
              <w:rPr>
                <w:rFonts w:ascii="Times New Roman" w:hAnsi="Times New Roman" w:eastAsia="方正仿宋_GBK"/>
                <w:szCs w:val="21"/>
              </w:rPr>
            </w:pPr>
            <w:r>
              <w:rPr>
                <w:rFonts w:ascii="Times New Roman" w:hAnsi="Times New Roman" w:eastAsia="方正仿宋_GBK"/>
                <w:szCs w:val="21"/>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ign w:val="center"/>
          </w:tcPr>
          <w:p>
            <w:pPr>
              <w:jc w:val="center"/>
              <w:rPr>
                <w:rFonts w:ascii="Times New Roman" w:hAnsi="Times New Roman" w:eastAsia="方正仿宋_GBK"/>
                <w:szCs w:val="21"/>
              </w:rPr>
            </w:pPr>
            <w:r>
              <w:rPr>
                <w:rFonts w:ascii="Times New Roman" w:hAnsi="Times New Roman" w:eastAsia="方正仿宋_GBK"/>
                <w:szCs w:val="21"/>
              </w:rPr>
              <w:t>如东经济开发区</w:t>
            </w:r>
          </w:p>
        </w:tc>
        <w:tc>
          <w:tcPr>
            <w:tcW w:w="5103" w:type="dxa"/>
            <w:noWrap/>
            <w:vAlign w:val="center"/>
          </w:tcPr>
          <w:p>
            <w:pPr>
              <w:jc w:val="left"/>
              <w:rPr>
                <w:rFonts w:ascii="Times New Roman" w:hAnsi="Times New Roman" w:eastAsia="方正仿宋_GBK"/>
                <w:szCs w:val="21"/>
              </w:rPr>
            </w:pPr>
            <w:r>
              <w:rPr>
                <w:rFonts w:ascii="Times New Roman" w:hAnsi="Times New Roman" w:eastAsia="方正仿宋_GBK"/>
                <w:szCs w:val="21"/>
              </w:rPr>
              <w:t>鼎鲜私房菜、碧桂园私房菜、如东万豪酒店、如东县中医院食堂、如东县委会党校食堂、如东中等专业学校食堂、如东县新区初级中学食堂、如东经济开发区管委会食堂、开发区幼儿园食堂、开发区实验小学食堂</w:t>
            </w:r>
          </w:p>
        </w:tc>
        <w:tc>
          <w:tcPr>
            <w:tcW w:w="1701" w:type="dxa"/>
            <w:vMerge w:val="continue"/>
            <w:noWrap/>
          </w:tcPr>
          <w:p>
            <w:pPr>
              <w:jc w:val="center"/>
              <w:rPr>
                <w:rFonts w:ascii="Times New Roman" w:hAnsi="Times New Roman" w:eastAsia="方正仿宋_GBK"/>
                <w:szCs w:val="21"/>
              </w:rPr>
            </w:pPr>
          </w:p>
        </w:tc>
        <w:tc>
          <w:tcPr>
            <w:tcW w:w="1134" w:type="dxa"/>
            <w:vMerge w:val="continue"/>
            <w:noWrap/>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76" w:type="dxa"/>
            <w:noWrap/>
            <w:vAlign w:val="center"/>
          </w:tcPr>
          <w:p>
            <w:pPr>
              <w:jc w:val="center"/>
              <w:rPr>
                <w:rFonts w:ascii="Times New Roman" w:hAnsi="Times New Roman" w:eastAsia="方正仿宋_GBK"/>
                <w:szCs w:val="21"/>
              </w:rPr>
            </w:pPr>
            <w:r>
              <w:rPr>
                <w:rFonts w:ascii="Times New Roman" w:hAnsi="Times New Roman" w:eastAsia="方正仿宋_GBK"/>
                <w:szCs w:val="21"/>
              </w:rPr>
              <w:t>城中街道</w:t>
            </w:r>
          </w:p>
        </w:tc>
        <w:tc>
          <w:tcPr>
            <w:tcW w:w="5103" w:type="dxa"/>
            <w:noWrap/>
            <w:vAlign w:val="center"/>
          </w:tcPr>
          <w:p>
            <w:pPr>
              <w:rPr>
                <w:rFonts w:ascii="Times New Roman" w:hAnsi="Times New Roman" w:eastAsia="方正仿宋_GBK"/>
                <w:szCs w:val="21"/>
              </w:rPr>
            </w:pPr>
            <w:r>
              <w:rPr>
                <w:rFonts w:ascii="Times New Roman" w:hAnsi="Times New Roman" w:eastAsia="方正仿宋_GBK"/>
                <w:szCs w:val="21"/>
              </w:rPr>
              <w:t>四合院、飘香阁、南京灌汤包、川湘鱼馆、七里香鱼馆、富民酒家、天成酒楼、牛肉汤馆、孟风堂大碗牛酱拌饭、张记、东凌港酒店、江户川、九也火锅、雷迪森（君澜酒店）、有朋饭店、江风海韵、王厨、沁缘私房菜、忆江南、羊京记</w:t>
            </w:r>
          </w:p>
        </w:tc>
        <w:tc>
          <w:tcPr>
            <w:tcW w:w="1701" w:type="dxa"/>
            <w:vMerge w:val="continue"/>
            <w:noWrap/>
          </w:tcPr>
          <w:p>
            <w:pPr>
              <w:jc w:val="center"/>
              <w:rPr>
                <w:rFonts w:ascii="Times New Roman" w:hAnsi="Times New Roman" w:eastAsia="方正仿宋_GBK"/>
                <w:szCs w:val="21"/>
              </w:rPr>
            </w:pPr>
          </w:p>
        </w:tc>
        <w:tc>
          <w:tcPr>
            <w:tcW w:w="1134" w:type="dxa"/>
            <w:vMerge w:val="continue"/>
            <w:noWrap/>
          </w:tcPr>
          <w:p>
            <w:pPr>
              <w:jc w:val="center"/>
              <w:rPr>
                <w:rFonts w:ascii="Times New Roman" w:hAnsi="Times New Roman" w:eastAsia="方正仿宋_GBK"/>
                <w:szCs w:val="21"/>
              </w:rPr>
            </w:pPr>
          </w:p>
        </w:tc>
      </w:tr>
    </w:tbl>
    <w:p>
      <w:pPr>
        <w:pStyle w:val="22"/>
        <w:spacing w:before="0" w:after="0" w:line="580" w:lineRule="exact"/>
        <w:ind w:firstLine="0" w:firstLineChars="0"/>
        <w:jc w:val="center"/>
        <w:rPr>
          <w:rFonts w:ascii="Times New Roman" w:hAnsi="Times New Roman" w:eastAsia="方正小标宋_GBK"/>
          <w:b w:val="0"/>
          <w:sz w:val="28"/>
          <w:szCs w:val="28"/>
        </w:rPr>
      </w:pPr>
    </w:p>
    <w:p>
      <w:pPr>
        <w:pStyle w:val="22"/>
        <w:spacing w:before="0" w:after="0" w:line="580" w:lineRule="exact"/>
        <w:ind w:firstLine="0" w:firstLineChars="0"/>
        <w:jc w:val="center"/>
        <w:rPr>
          <w:rFonts w:ascii="黑体" w:hAnsi="黑体" w:eastAsia="黑体" w:cs="黑体"/>
          <w:b w:val="0"/>
          <w:szCs w:val="32"/>
        </w:rPr>
      </w:pPr>
      <w:r>
        <w:rPr>
          <w:rFonts w:hint="eastAsia" w:ascii="黑体" w:hAnsi="黑体" w:eastAsia="黑体" w:cs="黑体"/>
          <w:b w:val="0"/>
          <w:szCs w:val="32"/>
        </w:rPr>
        <w:t xml:space="preserve">表6  </w:t>
      </w:r>
      <w:r>
        <w:rPr>
          <w:rFonts w:hint="eastAsia" w:ascii="黑体" w:hAnsi="黑体" w:eastAsia="黑体" w:cs="黑体"/>
          <w:b w:val="0"/>
          <w:bCs/>
          <w:szCs w:val="32"/>
        </w:rPr>
        <w:t>储罐治理项目</w:t>
      </w:r>
    </w:p>
    <w:tbl>
      <w:tblPr>
        <w:tblStyle w:val="12"/>
        <w:tblW w:w="90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3686"/>
        <w:gridCol w:w="992"/>
        <w:gridCol w:w="1701"/>
        <w:gridCol w:w="12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384" w:type="dxa"/>
            <w:vAlign w:val="center"/>
          </w:tcPr>
          <w:p>
            <w:pPr>
              <w:jc w:val="center"/>
              <w:rPr>
                <w:rFonts w:ascii="Times New Roman" w:hAnsi="Times New Roman" w:eastAsia="方正仿宋_GBK"/>
                <w:b/>
                <w:szCs w:val="21"/>
              </w:rPr>
            </w:pPr>
            <w:r>
              <w:rPr>
                <w:rFonts w:ascii="Times New Roman" w:hAnsi="Times New Roman" w:eastAsia="方正仿宋_GBK"/>
                <w:b/>
                <w:szCs w:val="21"/>
              </w:rPr>
              <w:t>镇（区、街道）</w:t>
            </w:r>
          </w:p>
        </w:tc>
        <w:tc>
          <w:tcPr>
            <w:tcW w:w="3686" w:type="dxa"/>
            <w:vAlign w:val="center"/>
          </w:tcPr>
          <w:p>
            <w:pPr>
              <w:jc w:val="center"/>
              <w:rPr>
                <w:rFonts w:ascii="Times New Roman" w:hAnsi="Times New Roman" w:eastAsia="方正仿宋_GBK"/>
                <w:b/>
                <w:szCs w:val="21"/>
              </w:rPr>
            </w:pPr>
            <w:r>
              <w:rPr>
                <w:rFonts w:ascii="Times New Roman" w:hAnsi="Times New Roman" w:eastAsia="方正仿宋_GBK"/>
                <w:b/>
                <w:szCs w:val="21"/>
              </w:rPr>
              <w:t>单位（项目）名称</w:t>
            </w:r>
          </w:p>
        </w:tc>
        <w:tc>
          <w:tcPr>
            <w:tcW w:w="992" w:type="dxa"/>
            <w:vAlign w:val="center"/>
          </w:tcPr>
          <w:p>
            <w:pPr>
              <w:jc w:val="center"/>
              <w:rPr>
                <w:rFonts w:ascii="Times New Roman" w:hAnsi="Times New Roman" w:eastAsia="方正仿宋_GBK"/>
                <w:b/>
                <w:szCs w:val="21"/>
              </w:rPr>
            </w:pPr>
            <w:r>
              <w:rPr>
                <w:rFonts w:ascii="Times New Roman" w:hAnsi="Times New Roman" w:eastAsia="方正仿宋_GBK"/>
                <w:b/>
                <w:szCs w:val="21"/>
              </w:rPr>
              <w:t>储罐数量</w:t>
            </w:r>
          </w:p>
        </w:tc>
        <w:tc>
          <w:tcPr>
            <w:tcW w:w="1701" w:type="dxa"/>
            <w:vAlign w:val="center"/>
          </w:tcPr>
          <w:p>
            <w:pPr>
              <w:jc w:val="center"/>
              <w:rPr>
                <w:rFonts w:ascii="Times New Roman" w:hAnsi="Times New Roman" w:eastAsia="方正仿宋_GBK"/>
                <w:b/>
                <w:szCs w:val="21"/>
              </w:rPr>
            </w:pPr>
            <w:r>
              <w:rPr>
                <w:rFonts w:ascii="Times New Roman" w:hAnsi="Times New Roman" w:eastAsia="方正仿宋_GBK"/>
                <w:b/>
                <w:szCs w:val="21"/>
              </w:rPr>
              <w:t>整治措施</w:t>
            </w:r>
          </w:p>
        </w:tc>
        <w:tc>
          <w:tcPr>
            <w:tcW w:w="1298" w:type="dxa"/>
            <w:vAlign w:val="center"/>
          </w:tcPr>
          <w:p>
            <w:pPr>
              <w:jc w:val="center"/>
              <w:rPr>
                <w:rFonts w:ascii="Times New Roman" w:hAnsi="Times New Roman" w:eastAsia="方正仿宋_GBK"/>
                <w:b/>
                <w:szCs w:val="21"/>
              </w:rPr>
            </w:pPr>
            <w:r>
              <w:rPr>
                <w:rFonts w:ascii="Times New Roman" w:hAnsi="Times New Roman" w:eastAsia="方正仿宋_GBK"/>
                <w:b/>
                <w:szCs w:val="21"/>
              </w:rPr>
              <w:t>完成时限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rPr>
                <w:rFonts w:ascii="Times New Roman" w:hAnsi="Times New Roman" w:eastAsia="方正仿宋_GBK"/>
                <w:szCs w:val="21"/>
              </w:rPr>
            </w:pPr>
            <w:r>
              <w:rPr>
                <w:rFonts w:ascii="Times New Roman" w:hAnsi="Times New Roman" w:eastAsia="方正仿宋_GBK"/>
                <w:szCs w:val="21"/>
              </w:rPr>
              <w:t>洋口镇</w:t>
            </w:r>
          </w:p>
        </w:tc>
        <w:tc>
          <w:tcPr>
            <w:tcW w:w="3686" w:type="dxa"/>
            <w:vAlign w:val="center"/>
          </w:tcPr>
          <w:p>
            <w:pPr>
              <w:rPr>
                <w:rFonts w:ascii="Times New Roman" w:hAnsi="Times New Roman" w:eastAsia="方正仿宋_GBK"/>
                <w:szCs w:val="21"/>
              </w:rPr>
            </w:pPr>
            <w:r>
              <w:rPr>
                <w:rFonts w:ascii="Times New Roman" w:hAnsi="Times New Roman" w:eastAsia="方正仿宋_GBK"/>
                <w:szCs w:val="21"/>
              </w:rPr>
              <w:t>南通高盟新材料有限公司、南通凯塔化工科技有限公司、江苏恒峰精细化学股份有限公司、南通宝叶化工有限公司、南通立洋化学有限公司、南通利奥化工科技有限公司、南通施壮化工有限公司、南通市纳百园化工有限公司、南通腾龙化工科技有限公司、如东众意化工有限公司、南通万顺化工科技有限公司、顺毅南通化工有限公司、南通雅本化学有限公司、南通泰禾化工股份有限公司、巴斯夫植物保护（江苏）有限公司</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216</w:t>
            </w:r>
          </w:p>
        </w:tc>
        <w:tc>
          <w:tcPr>
            <w:tcW w:w="1701" w:type="dxa"/>
            <w:vMerge w:val="restart"/>
            <w:vAlign w:val="center"/>
          </w:tcPr>
          <w:p>
            <w:pPr>
              <w:rPr>
                <w:rFonts w:ascii="Times New Roman" w:hAnsi="Times New Roman" w:eastAsia="方正仿宋_GBK"/>
                <w:szCs w:val="21"/>
              </w:rPr>
            </w:pPr>
            <w:r>
              <w:rPr>
                <w:rFonts w:ascii="Times New Roman" w:hAnsi="Times New Roman" w:eastAsia="方正仿宋_GBK"/>
                <w:szCs w:val="21"/>
              </w:rPr>
              <w:t>满足《挥发性有机物无组织排放控标准GB37822-2019》5.2要求</w:t>
            </w:r>
          </w:p>
        </w:tc>
        <w:tc>
          <w:tcPr>
            <w:tcW w:w="1298" w:type="dxa"/>
            <w:vMerge w:val="restart"/>
            <w:vAlign w:val="center"/>
          </w:tcPr>
          <w:p>
            <w:pPr>
              <w:jc w:val="center"/>
              <w:rPr>
                <w:rFonts w:ascii="Times New Roman" w:hAnsi="Times New Roman" w:eastAsia="方正仿宋_GBK"/>
                <w:szCs w:val="21"/>
              </w:rPr>
            </w:pPr>
            <w:r>
              <w:rPr>
                <w:rFonts w:ascii="Times New Roman" w:hAnsi="Times New Roman" w:eastAsia="方正仿宋_GBK"/>
                <w:szCs w:val="21"/>
              </w:rPr>
              <w:t>2022年9月</w:t>
            </w:r>
          </w:p>
          <w:p>
            <w:pPr>
              <w:jc w:val="center"/>
              <w:rPr>
                <w:rFonts w:ascii="Times New Roman" w:hAnsi="Times New Roman" w:eastAsia="方正仿宋_GBK"/>
                <w:szCs w:val="21"/>
              </w:rPr>
            </w:pPr>
            <w:r>
              <w:rPr>
                <w:rFonts w:ascii="Times New Roman" w:hAnsi="Times New Roman" w:eastAsia="方正仿宋_GBK"/>
                <w:szCs w:val="21"/>
              </w:rPr>
              <w:t>底前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rPr>
                <w:rFonts w:ascii="Times New Roman" w:hAnsi="Times New Roman" w:eastAsia="方正仿宋_GBK"/>
                <w:szCs w:val="21"/>
              </w:rPr>
            </w:pPr>
            <w:r>
              <w:rPr>
                <w:rFonts w:ascii="Times New Roman" w:hAnsi="Times New Roman" w:eastAsia="方正仿宋_GBK"/>
                <w:szCs w:val="21"/>
              </w:rPr>
              <w:t>洋口港经济开发区</w:t>
            </w:r>
          </w:p>
        </w:tc>
        <w:tc>
          <w:tcPr>
            <w:tcW w:w="3686" w:type="dxa"/>
            <w:vAlign w:val="center"/>
          </w:tcPr>
          <w:p>
            <w:pPr>
              <w:jc w:val="left"/>
              <w:rPr>
                <w:rFonts w:ascii="Times New Roman" w:hAnsi="Times New Roman" w:eastAsia="方正仿宋_GBK"/>
                <w:szCs w:val="21"/>
              </w:rPr>
            </w:pPr>
            <w:r>
              <w:rPr>
                <w:rFonts w:ascii="Times New Roman" w:hAnsi="Times New Roman" w:eastAsia="方正仿宋_GBK"/>
                <w:szCs w:val="21"/>
              </w:rPr>
              <w:t>江苏福瑞达新材料有限公司</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16</w:t>
            </w:r>
          </w:p>
        </w:tc>
        <w:tc>
          <w:tcPr>
            <w:tcW w:w="1701" w:type="dxa"/>
            <w:vMerge w:val="continue"/>
          </w:tcPr>
          <w:p>
            <w:pPr>
              <w:jc w:val="center"/>
              <w:rPr>
                <w:rFonts w:ascii="Times New Roman" w:hAnsi="Times New Roman" w:eastAsia="方正仿宋_GBK"/>
                <w:szCs w:val="21"/>
              </w:rPr>
            </w:pPr>
          </w:p>
        </w:tc>
        <w:tc>
          <w:tcPr>
            <w:tcW w:w="1298" w:type="dxa"/>
            <w:vMerge w:val="continue"/>
          </w:tcPr>
          <w:p>
            <w:pPr>
              <w:jc w:val="center"/>
              <w:rPr>
                <w:rFonts w:ascii="Times New Roman" w:hAnsi="Times New Roman" w:eastAsia="方正仿宋_GBK"/>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384" w:type="dxa"/>
            <w:vAlign w:val="center"/>
          </w:tcPr>
          <w:p>
            <w:pPr>
              <w:jc w:val="center"/>
              <w:rPr>
                <w:rFonts w:ascii="Times New Roman" w:hAnsi="Times New Roman" w:eastAsia="方正仿宋_GBK"/>
                <w:szCs w:val="21"/>
              </w:rPr>
            </w:pPr>
            <w:r>
              <w:rPr>
                <w:rFonts w:ascii="Times New Roman" w:hAnsi="Times New Roman" w:eastAsia="方正仿宋_GBK"/>
                <w:szCs w:val="21"/>
              </w:rPr>
              <w:t>马塘镇</w:t>
            </w:r>
          </w:p>
        </w:tc>
        <w:tc>
          <w:tcPr>
            <w:tcW w:w="3686" w:type="dxa"/>
            <w:vAlign w:val="center"/>
          </w:tcPr>
          <w:p>
            <w:pPr>
              <w:rPr>
                <w:rFonts w:ascii="Times New Roman" w:hAnsi="Times New Roman" w:eastAsia="方正仿宋_GBK"/>
                <w:szCs w:val="21"/>
              </w:rPr>
            </w:pPr>
            <w:r>
              <w:rPr>
                <w:rFonts w:ascii="Times New Roman" w:hAnsi="Times New Roman" w:eastAsia="方正仿宋_GBK"/>
                <w:szCs w:val="21"/>
              </w:rPr>
              <w:t>南通雄鹰涂料有限公司</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18</w:t>
            </w:r>
          </w:p>
        </w:tc>
        <w:tc>
          <w:tcPr>
            <w:tcW w:w="1701" w:type="dxa"/>
            <w:vMerge w:val="continue"/>
          </w:tcPr>
          <w:p>
            <w:pPr>
              <w:jc w:val="center"/>
              <w:rPr>
                <w:rFonts w:ascii="Times New Roman" w:hAnsi="Times New Roman" w:eastAsia="方正仿宋_GBK"/>
                <w:szCs w:val="21"/>
              </w:rPr>
            </w:pPr>
          </w:p>
        </w:tc>
        <w:tc>
          <w:tcPr>
            <w:tcW w:w="1298" w:type="dxa"/>
            <w:vMerge w:val="continue"/>
          </w:tcPr>
          <w:p>
            <w:pPr>
              <w:jc w:val="center"/>
              <w:rPr>
                <w:rFonts w:ascii="Times New Roman" w:hAnsi="Times New Roman" w:eastAsia="方正仿宋_GBK"/>
                <w:szCs w:val="21"/>
              </w:rPr>
            </w:pPr>
          </w:p>
        </w:tc>
      </w:tr>
    </w:tbl>
    <w:p>
      <w:pPr>
        <w:pStyle w:val="22"/>
        <w:spacing w:before="0" w:after="0" w:line="580" w:lineRule="exact"/>
        <w:ind w:firstLine="0" w:firstLineChars="0"/>
        <w:jc w:val="center"/>
        <w:rPr>
          <w:rFonts w:ascii="黑体" w:hAnsi="黑体" w:eastAsia="黑体" w:cs="黑体"/>
          <w:b w:val="0"/>
          <w:szCs w:val="32"/>
        </w:rPr>
      </w:pPr>
      <w:r>
        <w:rPr>
          <w:rFonts w:hint="eastAsia" w:ascii="黑体" w:hAnsi="黑体" w:eastAsia="黑体" w:cs="黑体"/>
          <w:b w:val="0"/>
          <w:szCs w:val="32"/>
        </w:rPr>
        <w:t>表7  其他项目</w:t>
      </w:r>
    </w:p>
    <w:tbl>
      <w:tblPr>
        <w:tblStyle w:val="11"/>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92"/>
        <w:gridCol w:w="3654"/>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4" w:type="dxa"/>
            <w:noWrap/>
            <w:vAlign w:val="center"/>
          </w:tcPr>
          <w:p>
            <w:pPr>
              <w:jc w:val="center"/>
              <w:rPr>
                <w:rFonts w:ascii="Times New Roman" w:hAnsi="Times New Roman" w:eastAsia="方正仿宋_GBK"/>
                <w:b/>
                <w:bCs/>
                <w:szCs w:val="21"/>
              </w:rPr>
            </w:pPr>
            <w:r>
              <w:rPr>
                <w:rFonts w:ascii="Times New Roman" w:hAnsi="Times New Roman" w:eastAsia="方正仿宋_GBK"/>
                <w:b/>
                <w:bCs/>
                <w:szCs w:val="21"/>
              </w:rPr>
              <w:t>序号</w:t>
            </w:r>
          </w:p>
        </w:tc>
        <w:tc>
          <w:tcPr>
            <w:tcW w:w="992" w:type="dxa"/>
            <w:noWrap/>
            <w:vAlign w:val="center"/>
          </w:tcPr>
          <w:p>
            <w:pPr>
              <w:jc w:val="center"/>
              <w:rPr>
                <w:rFonts w:ascii="Times New Roman" w:hAnsi="Times New Roman" w:eastAsia="方正仿宋_GBK"/>
                <w:b/>
                <w:bCs/>
                <w:szCs w:val="21"/>
              </w:rPr>
            </w:pPr>
            <w:r>
              <w:rPr>
                <w:rFonts w:ascii="Times New Roman" w:hAnsi="Times New Roman" w:eastAsia="方正仿宋_GBK"/>
                <w:b/>
                <w:bCs/>
                <w:szCs w:val="21"/>
              </w:rPr>
              <w:t>镇（区、街道）</w:t>
            </w:r>
          </w:p>
        </w:tc>
        <w:tc>
          <w:tcPr>
            <w:tcW w:w="3654" w:type="dxa"/>
            <w:noWrap/>
            <w:vAlign w:val="center"/>
          </w:tcPr>
          <w:p>
            <w:pPr>
              <w:jc w:val="center"/>
              <w:rPr>
                <w:rFonts w:ascii="Times New Roman" w:hAnsi="Times New Roman" w:eastAsia="方正仿宋_GBK"/>
                <w:b/>
                <w:bCs/>
                <w:szCs w:val="21"/>
              </w:rPr>
            </w:pPr>
            <w:r>
              <w:rPr>
                <w:rFonts w:ascii="Times New Roman" w:hAnsi="Times New Roman" w:eastAsia="方正仿宋_GBK"/>
                <w:b/>
                <w:bCs/>
                <w:szCs w:val="21"/>
              </w:rPr>
              <w:t>项目名称</w:t>
            </w:r>
          </w:p>
        </w:tc>
        <w:tc>
          <w:tcPr>
            <w:tcW w:w="1842" w:type="dxa"/>
            <w:noWrap/>
            <w:vAlign w:val="center"/>
          </w:tcPr>
          <w:p>
            <w:pPr>
              <w:jc w:val="center"/>
              <w:rPr>
                <w:rFonts w:ascii="Times New Roman" w:hAnsi="Times New Roman" w:eastAsia="方正仿宋_GBK"/>
                <w:b/>
                <w:bCs/>
                <w:szCs w:val="21"/>
              </w:rPr>
            </w:pPr>
            <w:r>
              <w:rPr>
                <w:rFonts w:ascii="Times New Roman" w:hAnsi="Times New Roman" w:eastAsia="方正仿宋_GBK"/>
                <w:b/>
                <w:bCs/>
                <w:szCs w:val="21"/>
              </w:rPr>
              <w:t>整治措施</w:t>
            </w:r>
          </w:p>
        </w:tc>
        <w:tc>
          <w:tcPr>
            <w:tcW w:w="1418" w:type="dxa"/>
            <w:noWrap/>
            <w:vAlign w:val="center"/>
          </w:tcPr>
          <w:p>
            <w:pPr>
              <w:jc w:val="center"/>
              <w:rPr>
                <w:rFonts w:ascii="Times New Roman" w:hAnsi="Times New Roman" w:eastAsia="方正仿宋_GBK"/>
                <w:b/>
                <w:bCs/>
                <w:szCs w:val="21"/>
              </w:rPr>
            </w:pPr>
            <w:r>
              <w:rPr>
                <w:rFonts w:ascii="Times New Roman" w:hAnsi="Times New Roman" w:eastAsia="方正仿宋_GBK"/>
                <w:b/>
                <w:bCs/>
                <w:szCs w:val="21"/>
              </w:rPr>
              <w:t>序时进度要求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w:t>
            </w:r>
          </w:p>
        </w:tc>
        <w:tc>
          <w:tcPr>
            <w:tcW w:w="992" w:type="dxa"/>
            <w:vMerge w:val="restart"/>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岔河镇</w:t>
            </w:r>
          </w:p>
        </w:tc>
        <w:tc>
          <w:tcPr>
            <w:tcW w:w="3654"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岔河镇污水处理有限公司无组织废气治理项目</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污水池密闭加盖</w:t>
            </w:r>
          </w:p>
        </w:tc>
        <w:tc>
          <w:tcPr>
            <w:tcW w:w="1418" w:type="dxa"/>
            <w:vMerge w:val="restart"/>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2</w:t>
            </w:r>
          </w:p>
        </w:tc>
        <w:tc>
          <w:tcPr>
            <w:tcW w:w="992" w:type="dxa"/>
            <w:vMerge w:val="continue"/>
            <w:noWrap/>
            <w:vAlign w:val="center"/>
          </w:tcPr>
          <w:p>
            <w:pPr>
              <w:pStyle w:val="22"/>
              <w:spacing w:before="0" w:after="0" w:line="240" w:lineRule="auto"/>
              <w:ind w:firstLine="422"/>
              <w:jc w:val="center"/>
              <w:rPr>
                <w:rFonts w:ascii="Times New Roman" w:hAnsi="Times New Roman"/>
                <w:sz w:val="21"/>
                <w:szCs w:val="21"/>
              </w:rPr>
            </w:pPr>
          </w:p>
        </w:tc>
        <w:tc>
          <w:tcPr>
            <w:tcW w:w="3654"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南通瑶华纤维有限公司无组织废气治理项目</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蒸球尾气增加收集处理装置、污水池加盖</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3</w:t>
            </w:r>
          </w:p>
        </w:tc>
        <w:tc>
          <w:tcPr>
            <w:tcW w:w="992" w:type="dxa"/>
            <w:vMerge w:val="restart"/>
            <w:noWrap/>
            <w:vAlign w:val="center"/>
          </w:tcPr>
          <w:p>
            <w:pPr>
              <w:jc w:val="center"/>
              <w:rPr>
                <w:rFonts w:ascii="Times New Roman" w:hAnsi="Times New Roman" w:eastAsia="方正仿宋_GBK"/>
                <w:bCs/>
                <w:szCs w:val="21"/>
              </w:rPr>
            </w:pPr>
            <w:r>
              <w:rPr>
                <w:rFonts w:ascii="Times New Roman" w:hAnsi="Times New Roman" w:eastAsia="方正仿宋_GBK"/>
                <w:bCs/>
                <w:szCs w:val="21"/>
              </w:rPr>
              <w:t>丰利镇</w:t>
            </w:r>
          </w:p>
        </w:tc>
        <w:tc>
          <w:tcPr>
            <w:tcW w:w="3654"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如东凯鸿纺织制品有限公司废气治理设施提标改造项目</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锅炉新增布袋除尘装置</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4</w:t>
            </w:r>
          </w:p>
        </w:tc>
        <w:tc>
          <w:tcPr>
            <w:tcW w:w="992" w:type="dxa"/>
            <w:vMerge w:val="continue"/>
            <w:noWrap/>
            <w:vAlign w:val="center"/>
          </w:tcPr>
          <w:p>
            <w:pPr>
              <w:jc w:val="center"/>
              <w:rPr>
                <w:rFonts w:ascii="Times New Roman" w:hAnsi="Times New Roman" w:eastAsia="方正仿宋_GBK"/>
                <w:bCs/>
                <w:szCs w:val="21"/>
              </w:rPr>
            </w:pPr>
          </w:p>
        </w:tc>
        <w:tc>
          <w:tcPr>
            <w:tcW w:w="3654"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如东县丰利机械厂有限公司废气治理设施提标改造项目</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拆除拆除水膜除尘设施，加大风机风量，增加活性炭吸附、光氧催化设施的处理效率</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5</w:t>
            </w:r>
          </w:p>
        </w:tc>
        <w:tc>
          <w:tcPr>
            <w:tcW w:w="992" w:type="dxa"/>
            <w:vMerge w:val="continue"/>
            <w:noWrap/>
            <w:vAlign w:val="center"/>
          </w:tcPr>
          <w:p>
            <w:pPr>
              <w:jc w:val="center"/>
              <w:rPr>
                <w:rFonts w:ascii="Times New Roman" w:hAnsi="Times New Roman" w:eastAsia="方正仿宋_GBK"/>
                <w:bCs/>
                <w:szCs w:val="21"/>
              </w:rPr>
            </w:pPr>
          </w:p>
        </w:tc>
        <w:tc>
          <w:tcPr>
            <w:tcW w:w="3654"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南通安迪手套有限公司废气治理设施提标改造项目</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重新安装过滤面积大的布袋除尘</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6</w:t>
            </w:r>
          </w:p>
        </w:tc>
        <w:tc>
          <w:tcPr>
            <w:tcW w:w="99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河口镇</w:t>
            </w:r>
          </w:p>
        </w:tc>
        <w:tc>
          <w:tcPr>
            <w:tcW w:w="3654"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南通华美染色有限公司污水处理设施废气收集处理项目</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废水处理池加装废气收集罩</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7</w:t>
            </w:r>
          </w:p>
        </w:tc>
        <w:tc>
          <w:tcPr>
            <w:tcW w:w="99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双甸镇</w:t>
            </w:r>
          </w:p>
        </w:tc>
        <w:tc>
          <w:tcPr>
            <w:tcW w:w="3654"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双甸镇畜禽粪污处置中心废气治理项目</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新建1套废气收集处理设施</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8</w:t>
            </w:r>
          </w:p>
        </w:tc>
        <w:tc>
          <w:tcPr>
            <w:tcW w:w="992" w:type="dxa"/>
            <w:vMerge w:val="restart"/>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新店镇</w:t>
            </w:r>
          </w:p>
        </w:tc>
        <w:tc>
          <w:tcPr>
            <w:tcW w:w="3654"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新店镇污水处理厂废气治理提升改造</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污水处理池密闭加盖</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9</w:t>
            </w:r>
          </w:p>
        </w:tc>
        <w:tc>
          <w:tcPr>
            <w:tcW w:w="992" w:type="dxa"/>
            <w:vMerge w:val="continue"/>
            <w:noWrap/>
            <w:vAlign w:val="center"/>
          </w:tcPr>
          <w:p>
            <w:pPr>
              <w:jc w:val="center"/>
              <w:rPr>
                <w:rFonts w:ascii="Times New Roman" w:hAnsi="Times New Roman" w:eastAsia="方正仿宋_GBK"/>
                <w:bCs/>
                <w:szCs w:val="21"/>
              </w:rPr>
            </w:pPr>
          </w:p>
        </w:tc>
        <w:tc>
          <w:tcPr>
            <w:tcW w:w="3654"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南通源泉健身器材有限公司废气处理设施提升改造</w:t>
            </w:r>
          </w:p>
        </w:tc>
        <w:tc>
          <w:tcPr>
            <w:tcW w:w="1842" w:type="dxa"/>
            <w:noWrap/>
            <w:vAlign w:val="center"/>
          </w:tcPr>
          <w:p>
            <w:pPr>
              <w:widowControl/>
              <w:jc w:val="center"/>
              <w:textAlignment w:val="center"/>
              <w:rPr>
                <w:rFonts w:ascii="Times New Roman" w:hAnsi="Times New Roman" w:eastAsia="方正仿宋_GBK"/>
                <w:bCs/>
                <w:szCs w:val="21"/>
              </w:rPr>
            </w:pPr>
            <w:r>
              <w:rPr>
                <w:rFonts w:ascii="Times New Roman" w:hAnsi="Times New Roman" w:eastAsia="方正仿宋_GBK"/>
                <w:bCs/>
                <w:szCs w:val="21"/>
              </w:rPr>
              <w:t>拟增加1套电炉废气治理设施</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10</w:t>
            </w:r>
          </w:p>
        </w:tc>
        <w:tc>
          <w:tcPr>
            <w:tcW w:w="99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曹埠镇</w:t>
            </w:r>
          </w:p>
        </w:tc>
        <w:tc>
          <w:tcPr>
            <w:tcW w:w="3654"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曹埠镇污水处理厂废气提标改造项目</w:t>
            </w:r>
          </w:p>
        </w:tc>
        <w:tc>
          <w:tcPr>
            <w:tcW w:w="184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污水处理池密闭加盖</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11</w:t>
            </w:r>
          </w:p>
        </w:tc>
        <w:tc>
          <w:tcPr>
            <w:tcW w:w="99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外农</w:t>
            </w:r>
          </w:p>
        </w:tc>
        <w:tc>
          <w:tcPr>
            <w:tcW w:w="3654"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东海（南通）冷冻食品有限公司污水处理设施加盖密闭项目</w:t>
            </w:r>
          </w:p>
        </w:tc>
        <w:tc>
          <w:tcPr>
            <w:tcW w:w="184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污水处理池密闭加盖</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12</w:t>
            </w:r>
          </w:p>
        </w:tc>
        <w:tc>
          <w:tcPr>
            <w:tcW w:w="99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大豫镇</w:t>
            </w:r>
          </w:p>
        </w:tc>
        <w:tc>
          <w:tcPr>
            <w:tcW w:w="3654"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大豫镇污水处理厂废气提标改造项目</w:t>
            </w:r>
          </w:p>
        </w:tc>
        <w:tc>
          <w:tcPr>
            <w:tcW w:w="184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污水处理池密闭加盖</w:t>
            </w:r>
          </w:p>
        </w:tc>
        <w:tc>
          <w:tcPr>
            <w:tcW w:w="1418" w:type="dxa"/>
            <w:vMerge w:val="continue"/>
            <w:noWrap/>
          </w:tcPr>
          <w:p>
            <w:pPr>
              <w:pStyle w:val="22"/>
              <w:spacing w:before="0" w:after="0" w:line="240" w:lineRule="auto"/>
              <w:ind w:firstLine="422"/>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2"/>
              <w:spacing w:before="0" w:after="0" w:line="240" w:lineRule="auto"/>
              <w:ind w:firstLine="0" w:firstLineChars="0"/>
              <w:jc w:val="center"/>
              <w:rPr>
                <w:rFonts w:ascii="Times New Roman" w:hAnsi="Times New Roman"/>
                <w:b w:val="0"/>
                <w:bCs/>
                <w:sz w:val="21"/>
                <w:szCs w:val="21"/>
              </w:rPr>
            </w:pPr>
            <w:r>
              <w:rPr>
                <w:rFonts w:ascii="Times New Roman" w:hAnsi="Times New Roman"/>
                <w:b w:val="0"/>
                <w:bCs/>
                <w:sz w:val="21"/>
                <w:szCs w:val="21"/>
              </w:rPr>
              <w:t>13</w:t>
            </w:r>
          </w:p>
        </w:tc>
        <w:tc>
          <w:tcPr>
            <w:tcW w:w="99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洋口镇</w:t>
            </w:r>
          </w:p>
        </w:tc>
        <w:tc>
          <w:tcPr>
            <w:tcW w:w="3654"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江苏东江环境服务有限公司</w:t>
            </w:r>
          </w:p>
        </w:tc>
        <w:tc>
          <w:tcPr>
            <w:tcW w:w="1842" w:type="dxa"/>
            <w:noWrap/>
            <w:vAlign w:val="center"/>
          </w:tcPr>
          <w:p>
            <w:pPr>
              <w:jc w:val="center"/>
              <w:rPr>
                <w:rFonts w:ascii="Times New Roman" w:hAnsi="Times New Roman" w:eastAsia="方正仿宋_GBK"/>
                <w:bCs/>
                <w:szCs w:val="21"/>
              </w:rPr>
            </w:pPr>
            <w:r>
              <w:rPr>
                <w:rFonts w:ascii="Times New Roman" w:hAnsi="Times New Roman" w:eastAsia="方正仿宋_GBK"/>
                <w:bCs/>
                <w:szCs w:val="21"/>
              </w:rPr>
              <w:t>烟气环保技改项目</w:t>
            </w:r>
          </w:p>
        </w:tc>
        <w:tc>
          <w:tcPr>
            <w:tcW w:w="1418" w:type="dxa"/>
            <w:noWrap/>
          </w:tcPr>
          <w:p>
            <w:pPr>
              <w:pStyle w:val="22"/>
              <w:spacing w:before="0" w:after="0" w:line="240" w:lineRule="auto"/>
              <w:ind w:firstLine="0" w:firstLineChars="0"/>
              <w:rPr>
                <w:rFonts w:ascii="Times New Roman" w:hAnsi="Times New Roman"/>
                <w:sz w:val="21"/>
                <w:szCs w:val="21"/>
              </w:rPr>
            </w:pPr>
            <w:r>
              <w:rPr>
                <w:rFonts w:ascii="Times New Roman" w:hAnsi="Times New Roman"/>
                <w:b w:val="0"/>
                <w:bCs/>
                <w:sz w:val="21"/>
                <w:szCs w:val="21"/>
              </w:rPr>
              <w:t>2022年12月底</w:t>
            </w:r>
          </w:p>
        </w:tc>
      </w:tr>
    </w:tbl>
    <w:p>
      <w:pPr>
        <w:rPr>
          <w:rFonts w:ascii="Times New Roman" w:hAnsi="Times New Roman"/>
        </w:rPr>
      </w:pPr>
    </w:p>
    <w:p>
      <w:pPr>
        <w:pStyle w:val="5"/>
        <w:sectPr>
          <w:pgSz w:w="11906" w:h="16838"/>
          <w:pgMar w:top="2098" w:right="1531" w:bottom="1758" w:left="1531" w:header="851" w:footer="1474" w:gutter="0"/>
          <w:pgNumType w:fmt="numberInDash"/>
          <w:cols w:space="425" w:num="1"/>
          <w:docGrid w:linePitch="312" w:charSpace="0"/>
        </w:sectPr>
      </w:pPr>
    </w:p>
    <w:p>
      <w:pPr>
        <w:autoSpaceDE w:val="0"/>
        <w:autoSpaceDN w:val="0"/>
        <w:snapToGrid w:val="0"/>
        <w:spacing w:line="64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如东县2022年土壤和地下水污染防治工作计划</w:t>
      </w:r>
    </w:p>
    <w:p>
      <w:pPr>
        <w:autoSpaceDE w:val="0"/>
        <w:autoSpaceDN w:val="0"/>
        <w:snapToGrid w:val="0"/>
        <w:spacing w:line="590" w:lineRule="exact"/>
        <w:ind w:firstLine="640" w:firstLineChars="200"/>
        <w:rPr>
          <w:rFonts w:ascii="Times New Roman" w:hAnsi="Times New Roman" w:eastAsia="方正仿宋_GBK"/>
          <w:sz w:val="32"/>
          <w:szCs w:val="32"/>
        </w:rPr>
      </w:pP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加强土壤和地下水生态环境保护是党中央、国务院作出的重要决策部署，是推进生态文明建设和维护国家生态安全、粮食安全的重要内容。为深入贯彻实施《土壤污染防治法》《地下水管理条例》《中共中央 国务院关于深入打好污染防治攻坚战的意见》《江苏省委 江苏省人民政府关于深入打好污染防治攻坚战的实施意见》，做好2022年土壤和地下水污染防治工作，制定本计划。</w:t>
      </w:r>
    </w:p>
    <w:p>
      <w:pPr>
        <w:autoSpaceDE w:val="0"/>
        <w:autoSpaceDN w:val="0"/>
        <w:snapToGrid w:val="0"/>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（一）指导思想</w:t>
      </w: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贯彻党的十九大和十九届历次全会精神，深入践行习近平生态文明思想，认真落实省第十四次党代会、市第十三次党代会、县第十五次党代会精神，准确把握减污降碳协同增效总要求，突出精准治污、科学治污、依法治污。坚持土壤和地下水污染防治稳中求进总基调，坚持预防为主、保护优先、管控存量、严控增量，坚持方向不变、力度不减，以更高标准打好净土保卫战。</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（二）工作目标</w:t>
      </w: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污染家底进一步摸清，联动监管制度进一步完善，农用地和建设用地土壤环境安全得到进一步巩固提升。全县土壤和地下水环境质量总体保持稳定，受污染耕地安全利用率稳定在93%以上，重点建设用地安全利用得到有效保障。</w:t>
      </w:r>
    </w:p>
    <w:p>
      <w:pPr>
        <w:autoSpaceDE w:val="0"/>
        <w:autoSpaceDN w:val="0"/>
        <w:snapToGrid w:val="0"/>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二、工作任务</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（一）深入贯彻落实法律法规</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 持续推进各级环保督察、土壤污染防治专项审计反馈问题整改。</w:t>
      </w:r>
      <w:r>
        <w:rPr>
          <w:rFonts w:ascii="Times New Roman" w:hAnsi="Times New Roman" w:eastAsia="仿宋_GB2312"/>
          <w:sz w:val="32"/>
          <w:szCs w:val="32"/>
        </w:rPr>
        <w:t>深入贯彻实施土壤污染防治法，持续做好问题整改，举一反三，查找工作中的薄弱环节，确保问题整改落实到位。对2021年底前已整改完成的事项，要加强后续监管，建立长效机制，确保整改取得成效。（如东生态环境局牵头，县农业农村局、自然资源和规划局、城管局等部门参与，镇（区、街道）人民政府（管委会、办事处）负责落实。以下均需镇（区、街道）人民政府（管委会、办事处）落实，不再列出）</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 加强相关法律法规的宣传贯彻。</w:t>
      </w:r>
      <w:r>
        <w:rPr>
          <w:rFonts w:ascii="Times New Roman" w:hAnsi="Times New Roman" w:eastAsia="仿宋_GB2312"/>
          <w:sz w:val="32"/>
          <w:szCs w:val="32"/>
        </w:rPr>
        <w:t>做好《土壤污染防治法》《地下水管理条例》等法律法规政策的宣传解读，面向党政机关、企事业单位等广泛开展宣传培训。结合世界环境日、世界土壤日等主题宣传活动，宣传土壤和地下水生态环境保护重要意义、政策措施和良好成效，营造保护土壤环境的良好社会氛围。（如东生态环境局牵头，县农业农村局、自然资源和规划局、住房和城乡建设局等部门参与）</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（二）深化土壤污染源头防控</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 加强土壤污染系统治理。</w:t>
      </w:r>
      <w:r>
        <w:rPr>
          <w:rFonts w:ascii="Times New Roman" w:hAnsi="Times New Roman" w:eastAsia="仿宋_GB2312"/>
          <w:sz w:val="32"/>
          <w:szCs w:val="32"/>
        </w:rPr>
        <w:t>构建监管体制完善、责任机制明确、协调配合密切的土壤环境综合管理体系。坚持将土壤污染防治与大气污染防治、水污染防治、固体废物污染防治统筹部署、综合施策、整体推进。严格执行《环境影响评价技术导则 地下水环境》和《环境影响评价技术导则 土壤环境（试行）》，落实新、改、扩建项目“三同时”土壤、地下水污染防治措施。（县行政审批局、如东生态环境局根据工作职能负责）</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 推进农用地土壤镉等重金属污染源头防治。</w:t>
      </w:r>
      <w:r>
        <w:rPr>
          <w:rFonts w:ascii="Times New Roman" w:hAnsi="Times New Roman" w:eastAsia="仿宋_GB2312"/>
          <w:sz w:val="32"/>
          <w:szCs w:val="32"/>
        </w:rPr>
        <w:t>根据《关于印发〈如东县农用地土壤镉等重金属污染源头防治行动实施方案〉的通知》（通如东环〔2021〕42号）要求，2022年3月底前，依法依规将符合条件的排放镉等有毒有害大气、水污染物的企业，纳入重点排污单位名录。5月底前制定工作方案，督促对大气污染物中的颗粒物按规定实现在线自动监测，并与如东生态环境局的监控设备联网。（如东生态环境局牵头，县发改委、自然资源和规划局、农业农村局等部门参与）</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 推进土壤污染重点监管单位源头防控。</w:t>
      </w:r>
      <w:r>
        <w:rPr>
          <w:rFonts w:ascii="Times New Roman" w:hAnsi="Times New Roman" w:eastAsia="仿宋_GB2312"/>
          <w:sz w:val="32"/>
          <w:szCs w:val="32"/>
        </w:rPr>
        <w:t>督促土壤污染重点监管单位根据《工业企业土壤和地下水自行监测技术指南（试行）》《重点监管单位土壤污染隐患排查指南（试行）》有关要求，规范开展自行监测和隐患排查，严格控制有毒有害物质排放，依法申领排污许可证，并按年度向如东生态环境局报告排放情况，按照《关于进一步加强建设用地土壤污染风险管控工作的通知》（通环土〔2021〕9号）文要求，落实设立标识牌等风险管控措施。12月底前，所有企业完成土壤和地下水自行监测，新纳入企业完成隐患排查工作，2021年经排查存在隐患点的企业全部完成整改。以化工和重金属行业为重点，组织实施土壤污染源头管控项目。鼓励重点监管单位因地制宜实施管道化、密闭化、重点区域防腐防渗改造，以及物料、污水、废气管线架空建设和改造。（如东生态环境局牵头，县发改委等部门参与）</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（三）强化受污染耕地安全利用</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6. 全面落实农用地安全利用措施。</w:t>
      </w:r>
      <w:r>
        <w:rPr>
          <w:rFonts w:ascii="Times New Roman" w:hAnsi="Times New Roman" w:eastAsia="仿宋_GB2312"/>
          <w:sz w:val="32"/>
          <w:szCs w:val="32"/>
        </w:rPr>
        <w:t>强化土壤和农产品协同监测与评价，动态更新耕地土壤环境质量类别。对优先保护类耕地，加大保护力度，确保其面积不减少、土壤环境质量不下降，依法将符合条件的优先保护类耕地划为永久基本农田；对安全利用类耕地，分类分区分级精准施用技术措施，巩固提升安全利用成效；对严格管控类耕地，依法划定特定农产品严格管控区域，严禁种植特定农产品，有序采取种植结构调整、生态休耕、退耕还林还草等措施，有效管控风险。加强粮食收储和流通环节监管，杜绝重金属超标粮食进入口粮市场。（县农业农村局牵头，如东生态环境局、自然资源和规划局、发改委、市场监管局等部门参与）</w:t>
      </w: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（四）强化建设用地土壤污染风险管控</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7. 加强土壤污染风险管控。</w:t>
      </w:r>
      <w:r>
        <w:rPr>
          <w:rFonts w:ascii="Times New Roman" w:hAnsi="Times New Roman" w:eastAsia="仿宋_GB2312"/>
          <w:sz w:val="32"/>
          <w:szCs w:val="32"/>
        </w:rPr>
        <w:t>对重点行业企业用地土壤调查发现高风险历史遗留地块和南通市污染地块名录中涉及如东县的地块（风险评估为风险可接受、已开展土壤污染风险管控或修复的地块除外），按照《关于进一步加强建设用地土壤污染风险管控工作的通知》（通环土〔2021〕9号）要求，暂不开发利用的，实施制度性或工程性管控措施，防止污染扩散，划定管控区域，设立标识，发布公告，督促土地使用权人定期开展土壤和地下水环境监测；对存在污染扩散风险的地块，责令土地使用权人及时采取有效污染物隔离、阻断等环境风险管控措施。拟开发利用的，按照“谁利用、谁负责”原则，由土地使用权人或污染责任人组织开展土壤污染状况调查、评估风险，落实相应的风险管控措施，定期向如东生态环境局报告。鼓励利用遥感、无人机等手段，定期对污染地块开发利用情况开展遥感识别，有条件的要安装监控，特别是已经确认为污染地块的，防止非法开发利用。优化土壤污染风险管控和修复技术路线，注重节能降耗。（如东生态环境局牵头，县自然资源和规划局参与）</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8. 开展土壤污染状况补充调查。</w:t>
      </w:r>
      <w:r>
        <w:rPr>
          <w:rFonts w:ascii="Times New Roman" w:hAnsi="Times New Roman" w:eastAsia="仿宋_GB2312"/>
          <w:sz w:val="32"/>
          <w:szCs w:val="32"/>
        </w:rPr>
        <w:t>根据省生态环境厅要求，2022年拟在重点行业企业土壤污染状况调查的基础上，对我县纳入详查的73个行业以外的3个关闭搬迁遗留地块继续开展土壤污染状况调查。6月底前，完成布点采样方案编制及评审；12月底前，完成数据分析及成果集成。如东生态环境局及相关镇（区、街道）要根据省生态环境厅安排的各项时间截点，积极配合保障调查工作顺利开展。（如东生态环境局负责）</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（五）强化建设用地安全利用</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9. 依法开展土壤污染状况调查。</w:t>
      </w:r>
      <w:r>
        <w:rPr>
          <w:rFonts w:ascii="Times New Roman" w:hAnsi="Times New Roman" w:eastAsia="仿宋_GB2312"/>
          <w:sz w:val="32"/>
          <w:szCs w:val="32"/>
        </w:rPr>
        <w:t>以用途变更为“一住两公”（住宅、公共管理与公共服务用地）的地块为重点，依法开展土壤污染状况调查和风险评估，未完成土壤污染状况调查前不得办理用途变更手续。对列入年度建设用地供应计划的“一住两公”地块，根据供地时序，制定土壤污染状况调查计划，提前开展土壤污染状况调查。（县自然资源和规划局、如东生态环境局各自按职责分工负责）</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10. 严格污染地块用地准入。</w:t>
      </w:r>
      <w:r>
        <w:rPr>
          <w:rFonts w:ascii="Times New Roman" w:hAnsi="Times New Roman" w:eastAsia="仿宋_GB2312"/>
          <w:sz w:val="32"/>
          <w:szCs w:val="32"/>
        </w:rPr>
        <w:t>合理规划污染地块用途，从严管控农药、化工等行业中的重度污染地块规划用途，鼓励用于园林绿地，拓展生态空间，降低修复能耗。积极支持将位于敏感区域及周边的污染地块修复为公共绿地。县自然资源和规划局对列入建设用地土壤污染风险管控和修复名录的地块，不得作为住宅、公共管理与公共服务用地；不得办理土地征收、收回、收购、土地供应以及改变土地用途等手续。依法应当开展土壤污染状况调查或风险评估而未开展或尚未完成的地块，以及未达到土壤污染风险评估报告确定的风险管控、修复目标的地块，不得开工建设与风险管控、修复无关的项目。对列入污染地块名录中的地块，未经治理与修复或者治理与修复未达到相关规划用地土壤环境质量要求的，县行政审批局、如东生态环境局不得批准选址涉及相关地块的建设项目环境影响报告书或者报告表，县自然资源和规划局、行政审批局不得核发相关地块开发利用的建设工程规划许可证。（如东生态环境局、县自然资源和规划局牵头，县行政审批局、住建局、交通运输局、发改委等部门参与）</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11. 定期开展重点建设用地安全利用率核算。</w:t>
      </w:r>
      <w:r>
        <w:rPr>
          <w:rFonts w:ascii="Times New Roman" w:hAnsi="Times New Roman" w:eastAsia="仿宋_GB2312"/>
          <w:sz w:val="32"/>
          <w:szCs w:val="32"/>
        </w:rPr>
        <w:t>充分利用重点行业企业详查成果，结合国土空间规划，12月底前制定重点建设用地安全利用方案。建立重点建设用地安全利用核算工作机制，每季度开展一次重点建设用地安全利用率核算，发现问题及时整改，确保全年重点建设用地安全利用得到有效保障，严守“住得安心”底线。（县自然资源和规划局、行政审批局、如东生态环境局各自按职责分工负责）</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（六）加强地下水污染防治</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12. 全面开展地下水环境状况调查评估。</w:t>
      </w:r>
      <w:r>
        <w:rPr>
          <w:rFonts w:ascii="Times New Roman" w:hAnsi="Times New Roman" w:eastAsia="仿宋_GB2312"/>
          <w:sz w:val="32"/>
          <w:szCs w:val="32"/>
        </w:rPr>
        <w:t>一是配合省、市对我县地下水重点污染源及周边的地下水环境风险隐患进行全面调查，开展重点采样监测，掌握地下水环境质量状况。二是按国家要求，开展我县化工园区地下水环境状况调查评估工作，8月底前完成如东县洋口化学工业园地下水环境状况调查评估，基本掌握化工园区及周边地下水环境质量状况，推动建立化工园区地下水环境监测网。（如东生态环境局负责）</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13. 建立地下水污染防治分区监管体系。</w:t>
      </w:r>
      <w:r>
        <w:rPr>
          <w:rFonts w:ascii="Times New Roman" w:hAnsi="Times New Roman" w:eastAsia="仿宋_GB2312"/>
          <w:sz w:val="32"/>
          <w:szCs w:val="32"/>
        </w:rPr>
        <w:t>落实地下水污染防治重点区划定，建立优先保护区、风险管控区、重点防控区、治理修复区，实施地下水污染分区管理、分类防控，明确环境准入、隐患排查、风险管控、治理修复等差别化环境管理要求。（如东生态环境局牵头，县自然资源和规划局、水务局、农业农村局、住房和城乡建设局等部门参与）</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14. 建立地下水污染防治重点排污单位名录。</w:t>
      </w:r>
      <w:r>
        <w:rPr>
          <w:rFonts w:ascii="Times New Roman" w:hAnsi="Times New Roman" w:eastAsia="仿宋_GB2312"/>
          <w:sz w:val="32"/>
          <w:szCs w:val="32"/>
        </w:rPr>
        <w:t>落实《地下水管理条例》，充分利用重点行业企业用地调查、化工园区地下水环境状况调查评估、地下水污染防治分区划分成果、企业自行监测、周边监督性监测等数据，结合我县地下水环境管理实际，6月底前确定地下水污染防治重点排污单位名录，推动纳入排污许可管理，开展地下水环境监测，督促相关企业强化防渗措施。（如东生态环境局牵头，县自然资源和规划局、水务局、农业农村局、住房和城乡建设局等部门参与）</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15. 持续推进地下水环境质量达标。</w:t>
      </w:r>
      <w:r>
        <w:rPr>
          <w:rFonts w:ascii="Times New Roman" w:hAnsi="Times New Roman" w:eastAsia="仿宋_GB2312"/>
          <w:sz w:val="32"/>
          <w:szCs w:val="32"/>
        </w:rPr>
        <w:t>开展地下水监测井规范化整治，加强地下水环境风险排查及管控。针对国家地下水环境质量考核点位，分析地下水环境质量状况，按照“一井一策”方案，针对非地质背景导致未达到水质目标要求的，及时采取管控或治理措施，推进地下水环境质量达标；针对地质背景导致未达到水质目标要求的，推进背景值调查工作，调阅历史地质、水质资料，针对区域性地质背景开展调查，9月底前完成。（如东生态环境局牵头，县自然资源和规划局、水务局等部门参与）</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（七）加强监测监控与执法监管</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16. 健全土壤环境监测网络体系。</w:t>
      </w:r>
      <w:r>
        <w:rPr>
          <w:rFonts w:ascii="Times New Roman" w:hAnsi="Times New Roman" w:eastAsia="仿宋_GB2312"/>
          <w:sz w:val="32"/>
          <w:szCs w:val="32"/>
        </w:rPr>
        <w:t>如东生态环境局应加快构建化工园区土壤和地下水环境监控预警体系建设，依法对重点企业及园区周边土壤和地下水开展监测，按照“十四五”期间至少完成一轮土壤污染重点监管单位周边监测的要求，2022年底，完成周边监测单位数量不低于土壤污染重点监管单位总数的40%，2021年度以前列入的土壤污染重点监管单位周边监督监测工作要在6月底前全部完成。县农业农村局应根据《关于开展规模养殖场农用地重点监测工作的通知》（通农发〔2021〕114号），对全县用于或曾用于规模化养殖的农用地开展重点监测，2022年完成93家规模化养殖场监测。（如东生态环境局、县农业农村局各自按职责负责）</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17. 开展土壤污染防治专项执法检查。</w:t>
      </w:r>
      <w:r>
        <w:rPr>
          <w:rFonts w:ascii="Times New Roman" w:hAnsi="Times New Roman" w:eastAsia="仿宋_GB2312"/>
          <w:sz w:val="32"/>
          <w:szCs w:val="32"/>
        </w:rPr>
        <w:t>按照“双随机、一公开”的原则，对土壤污染重点监管单位法定义务履行情况、涉镉等重金属排污单位重金属排放情况等情况开展专项执法检查。加强建设用地土壤污染风险管控和修复名录地块的抽查巡检，严厉打击“一住两公”用地和污染地块违法违规开发行为。（如东生态环境局牵头，县自然资源和规划局参与）</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（八）开展试点示范建设</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18. 推进农用地监测及调查试点。</w:t>
      </w:r>
      <w:r>
        <w:rPr>
          <w:rFonts w:ascii="Times New Roman" w:hAnsi="Times New Roman" w:eastAsia="仿宋_GB2312"/>
          <w:sz w:val="32"/>
          <w:szCs w:val="32"/>
        </w:rPr>
        <w:t>积极推动农用地地块重点监测工作，未利用地、复垦土地等拟开垦为耕地的，依法开展土壤污染状况调查，严把新增耕地“入口关”。曾用于生产、使用、贮存、回收、处置有毒有害物质的工矿用地不得复垦为食用农产品耕地。开展各类型农用地重点地块监测试点和拟复垦耕地土壤污染状况调查试点。（县农业农村局牵头，自然资源和规划局、如东生态环境局等部门参与）</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（九）加强能力建设</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19. 提升监测执法能力。</w:t>
      </w:r>
      <w:r>
        <w:rPr>
          <w:rFonts w:ascii="Times New Roman" w:hAnsi="Times New Roman" w:eastAsia="仿宋_GB2312"/>
          <w:sz w:val="32"/>
          <w:szCs w:val="32"/>
        </w:rPr>
        <w:t>逐步提升土壤和地下水环境监测水平，补齐监测能力短板。强化土壤和地下水执法培训，开展多部门联合执法检查，依法加强土壤和地下水污染防治监管。（如东生态环境局、县自然资源和规划局、行政审批局、农业农村局、水务局各自按职责分工负责）</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20. 加强中央、省资金项目储备工作。</w:t>
      </w:r>
      <w:r>
        <w:rPr>
          <w:rFonts w:ascii="Times New Roman" w:hAnsi="Times New Roman" w:eastAsia="仿宋_GB2312"/>
          <w:sz w:val="32"/>
          <w:szCs w:val="32"/>
        </w:rPr>
        <w:t>统筹谋划我县中央土壤和地下水污染防治专项资金项目储备库建设，全面梳理土壤和地下水污染防治工作，选择一批预期成效明显、成熟度高的项目，对照《关于印发〈中央生态环境资金项目储备库入库指南（2021年）〉的通知》（环办科财〔2021〕22号）要求，抓紧组织开展项目申报工作，年底前全县至少完成1个项目储备入库。定期对中央土壤资金项目实施和资金使用情况进行检查核查，督促项目单位规范推进项目实施和资金使用，及时拨付已完工项目的资金。（县财政局、如东生态环境局各自按职责分工负责）</w:t>
      </w:r>
    </w:p>
    <w:p>
      <w:pPr>
        <w:autoSpaceDE w:val="0"/>
        <w:autoSpaceDN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21. 加强全国污染地块土壤环境管理系统使用。</w:t>
      </w:r>
      <w:r>
        <w:rPr>
          <w:rFonts w:ascii="Times New Roman" w:hAnsi="Times New Roman" w:eastAsia="仿宋_GB2312"/>
          <w:sz w:val="32"/>
          <w:szCs w:val="32"/>
        </w:rPr>
        <w:t>各相关部门要进一步加强全国污染地块土壤环境管理系统的使用，在土壤污染状况调查报告受理环节严格审查系统填报质量，及时督促问题整改，及时、准确上传评审信息。县自然资源和规划局、行政审批局等要根据建设用地土壤环境联动监管要求，在开展相关工作时主动登录全国污染地块环境管理信息系统并查询地块土壤污染状况，强化结果运用。如东生态环境局应配合县自然资源和规划局、行政审批局开展信息系统应用、信息查询、信息共享等工作，杜绝未经调查评估和治理修复的土地进入流转环节。（如东生态环境局牵头，县自然资源和规划局、行政审批局等部门参与）</w:t>
      </w:r>
    </w:p>
    <w:p>
      <w:pPr>
        <w:autoSpaceDE w:val="0"/>
        <w:autoSpaceDN w:val="0"/>
        <w:snapToGrid w:val="0"/>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三、实施保障</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（一）加强组织领导</w:t>
      </w: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面加强党对生态环境保护工作的领导，落实党政同责、一岗双责。强化土壤和地下水等议事协调机制作用，加强协调督导，定期会商督办，推进各项工作任务高质量高标准完成。（如东生态环境局、县自然资源和规划局、农业农村局各自按职责负责）</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（二）强化资金保障</w:t>
      </w: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要加大对土壤污染防治工作的支持力度，做好财政预算安排，鼓励社会资本积极参与土壤污染防治工作。用好用足中央土壤污染防治资金，规范资金使用程序，发挥资金效益。（县财政局牵头，县农业农村局、自然资源和规划局、如东生态环境局等部门参与）</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（三）强化评估考核</w:t>
      </w: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将土壤污染防治重点工作事项纳入污染防治攻坚体系，围绕攻坚目标指标、重点任务等进展情况定期调度和评估。将“受污染耕地安全利用率”和“重点建设用地安全利用率”和“地下水国省考点位达标率”等刚性指标纳入污染防治攻坚战成效考核等考核指标体系，强化考核结果运用。（如东生态环境局、县自然资源和规划局、农业农村局各自按职责负责）</w:t>
      </w:r>
    </w:p>
    <w:p>
      <w:pPr>
        <w:autoSpaceDE w:val="0"/>
        <w:autoSpaceDN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（四）强化宣传引导</w:t>
      </w: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大土壤和地下水污染防治宣传力度，充分利用各种宣传工具和文化阵地，采取多样宣传形式，积极做好群众引导工作，推进土壤和地下水环境保护融入党政机关、学校、工厂、企业、社区、农村等环境宣传培训工作，切实提高土壤和地下水保护的群众基础，形成群策群力、群防群治的浓厚社会氛围。深入推动环保设施向公众开放，完善生态环境信息公开和有奖举报机制，引导社会有效监督。（如东生态环境局、县自然资源和规划局、农业农村局各自按职责负责）</w:t>
      </w:r>
    </w:p>
    <w:p>
      <w:pPr>
        <w:autoSpaceDE w:val="0"/>
        <w:autoSpaceDN w:val="0"/>
        <w:snapToGrid w:val="0"/>
        <w:spacing w:line="590" w:lineRule="exact"/>
        <w:rPr>
          <w:rFonts w:ascii="Times New Roman" w:hAnsi="Times New Roman" w:eastAsia="仿宋_GB2312"/>
          <w:bCs/>
          <w:sz w:val="32"/>
          <w:szCs w:val="32"/>
        </w:rPr>
      </w:pPr>
    </w:p>
    <w:p>
      <w:pPr>
        <w:autoSpaceDE w:val="0"/>
        <w:autoSpaceDN w:val="0"/>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附件：如东县2022年土壤和地下水污染防治工程项目表</w:t>
      </w:r>
    </w:p>
    <w:p>
      <w:pPr>
        <w:spacing w:line="590" w:lineRule="exact"/>
        <w:rPr>
          <w:rFonts w:ascii="Times New Roman" w:hAnsi="Times New Roman" w:eastAsia="仿宋_GB2312"/>
          <w:bCs/>
          <w:szCs w:val="32"/>
        </w:rPr>
        <w:sectPr>
          <w:footerReference r:id="rId11" w:type="even"/>
          <w:pgSz w:w="11906" w:h="16838"/>
          <w:pgMar w:top="2098" w:right="1531" w:bottom="1758" w:left="1531" w:header="850" w:footer="1474" w:gutter="0"/>
          <w:pgNumType w:fmt="numberInDash"/>
          <w:cols w:space="720" w:num="1"/>
          <w:docGrid w:linePitch="590" w:charSpace="-1024"/>
        </w:sectPr>
      </w:pPr>
    </w:p>
    <w:p>
      <w:pPr>
        <w:rPr>
          <w:rFonts w:ascii="Times New Roman" w:hAnsi="Times New Roman" w:eastAsia="黑体"/>
          <w:bCs/>
          <w:sz w:val="32"/>
          <w:szCs w:val="32"/>
        </w:rPr>
      </w:pPr>
      <w:r>
        <w:rPr>
          <w:rFonts w:ascii="Times New Roman" w:hAnsi="Times New Roman" w:eastAsia="黑体"/>
          <w:bCs/>
          <w:sz w:val="32"/>
          <w:szCs w:val="32"/>
        </w:rPr>
        <w:t>附件</w:t>
      </w:r>
    </w:p>
    <w:p>
      <w:pPr>
        <w:jc w:val="center"/>
        <w:rPr>
          <w:rFonts w:ascii="Times New Roman" w:hAnsi="Times New Roman" w:eastAsia="方正小标宋_GBK"/>
          <w:bCs/>
          <w:sz w:val="36"/>
          <w:szCs w:val="32"/>
        </w:rPr>
      </w:pPr>
      <w:r>
        <w:rPr>
          <w:rFonts w:ascii="Times New Roman" w:hAnsi="Times New Roman" w:eastAsia="方正小标宋_GBK"/>
          <w:bCs/>
          <w:sz w:val="36"/>
          <w:szCs w:val="32"/>
        </w:rPr>
        <w:t>如东县2022年土壤和地下水污染防治工程项目表</w:t>
      </w:r>
    </w:p>
    <w:tbl>
      <w:tblPr>
        <w:tblStyle w:val="11"/>
        <w:tblW w:w="14215" w:type="dxa"/>
        <w:jc w:val="center"/>
        <w:tblLayout w:type="fixed"/>
        <w:tblCellMar>
          <w:top w:w="0" w:type="dxa"/>
          <w:left w:w="108" w:type="dxa"/>
          <w:bottom w:w="0" w:type="dxa"/>
          <w:right w:w="108" w:type="dxa"/>
        </w:tblCellMar>
      </w:tblPr>
      <w:tblGrid>
        <w:gridCol w:w="586"/>
        <w:gridCol w:w="1808"/>
        <w:gridCol w:w="5876"/>
        <w:gridCol w:w="5035"/>
        <w:gridCol w:w="910"/>
      </w:tblGrid>
      <w:tr>
        <w:tblPrEx>
          <w:tblCellMar>
            <w:top w:w="0" w:type="dxa"/>
            <w:left w:w="108" w:type="dxa"/>
            <w:bottom w:w="0" w:type="dxa"/>
            <w:right w:w="108" w:type="dxa"/>
          </w:tblCellMar>
        </w:tblPrEx>
        <w:trPr>
          <w:trHeight w:val="397" w:hRule="atLeast"/>
          <w:tblHeader/>
          <w:jc w:val="center"/>
        </w:trPr>
        <w:tc>
          <w:tcPr>
            <w:tcW w:w="5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bCs/>
                <w:sz w:val="24"/>
              </w:rPr>
              <w:t>序号</w:t>
            </w:r>
          </w:p>
        </w:tc>
        <w:tc>
          <w:tcPr>
            <w:tcW w:w="18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bCs/>
                <w:sz w:val="24"/>
              </w:rPr>
              <w:t>地区</w:t>
            </w:r>
          </w:p>
        </w:tc>
        <w:tc>
          <w:tcPr>
            <w:tcW w:w="58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bCs/>
                <w:sz w:val="24"/>
              </w:rPr>
              <w:t>地块/区域名称</w:t>
            </w:r>
          </w:p>
        </w:tc>
        <w:tc>
          <w:tcPr>
            <w:tcW w:w="503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bCs/>
                <w:sz w:val="24"/>
              </w:rPr>
              <w:t>责任单位</w:t>
            </w:r>
          </w:p>
        </w:tc>
        <w:tc>
          <w:tcPr>
            <w:tcW w:w="9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bCs/>
                <w:sz w:val="24"/>
              </w:rPr>
              <w:t>实施期限</w:t>
            </w:r>
          </w:p>
        </w:tc>
      </w:tr>
      <w:tr>
        <w:tblPrEx>
          <w:tblCellMar>
            <w:top w:w="0" w:type="dxa"/>
            <w:left w:w="108" w:type="dxa"/>
            <w:bottom w:w="0" w:type="dxa"/>
            <w:right w:w="108" w:type="dxa"/>
          </w:tblCellMar>
        </w:tblPrEx>
        <w:trPr>
          <w:trHeight w:val="397" w:hRule="atLeast"/>
          <w:jc w:val="center"/>
        </w:trPr>
        <w:tc>
          <w:tcPr>
            <w:tcW w:w="14215"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bCs/>
                <w:sz w:val="24"/>
              </w:rPr>
              <w:t>土壤调查评估类</w:t>
            </w:r>
          </w:p>
        </w:tc>
      </w:tr>
      <w:tr>
        <w:tblPrEx>
          <w:tblCellMar>
            <w:top w:w="0" w:type="dxa"/>
            <w:left w:w="108" w:type="dxa"/>
            <w:bottom w:w="0" w:type="dxa"/>
            <w:right w:w="108" w:type="dxa"/>
          </w:tblCellMar>
        </w:tblPrEx>
        <w:trPr>
          <w:trHeight w:val="397" w:hRule="atLeast"/>
          <w:jc w:val="center"/>
        </w:trPr>
        <w:tc>
          <w:tcPr>
            <w:tcW w:w="58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1808"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如东县</w:t>
            </w:r>
          </w:p>
        </w:tc>
        <w:tc>
          <w:tcPr>
            <w:tcW w:w="5876"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原如东县东懋化工有限公司（如东水岸东侧）地块</w:t>
            </w:r>
          </w:p>
        </w:tc>
        <w:tc>
          <w:tcPr>
            <w:tcW w:w="503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县住建局、如东恒鑫置业有限公司</w:t>
            </w:r>
          </w:p>
        </w:tc>
        <w:tc>
          <w:tcPr>
            <w:tcW w:w="91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6月</w:t>
            </w:r>
          </w:p>
        </w:tc>
      </w:tr>
      <w:tr>
        <w:tblPrEx>
          <w:tblCellMar>
            <w:top w:w="0" w:type="dxa"/>
            <w:left w:w="108" w:type="dxa"/>
            <w:bottom w:w="0" w:type="dxa"/>
            <w:right w:w="108" w:type="dxa"/>
          </w:tblCellMar>
        </w:tblPrEx>
        <w:trPr>
          <w:trHeight w:val="397" w:hRule="atLeast"/>
          <w:jc w:val="center"/>
        </w:trPr>
        <w:tc>
          <w:tcPr>
            <w:tcW w:w="58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1808"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如东县</w:t>
            </w:r>
          </w:p>
        </w:tc>
        <w:tc>
          <w:tcPr>
            <w:tcW w:w="5876"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嘉陵江路北侧，东环路东侧地块</w:t>
            </w:r>
          </w:p>
        </w:tc>
        <w:tc>
          <w:tcPr>
            <w:tcW w:w="503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如东锦恒城市投资集团有限公司</w:t>
            </w:r>
          </w:p>
        </w:tc>
        <w:tc>
          <w:tcPr>
            <w:tcW w:w="91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11月</w:t>
            </w:r>
          </w:p>
        </w:tc>
      </w:tr>
      <w:tr>
        <w:tblPrEx>
          <w:tblCellMar>
            <w:top w:w="0" w:type="dxa"/>
            <w:left w:w="108" w:type="dxa"/>
            <w:bottom w:w="0" w:type="dxa"/>
            <w:right w:w="108" w:type="dxa"/>
          </w:tblCellMar>
        </w:tblPrEx>
        <w:trPr>
          <w:trHeight w:val="397" w:hRule="atLeast"/>
          <w:jc w:val="center"/>
        </w:trPr>
        <w:tc>
          <w:tcPr>
            <w:tcW w:w="58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3</w:t>
            </w:r>
          </w:p>
        </w:tc>
        <w:tc>
          <w:tcPr>
            <w:tcW w:w="1808"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如东县</w:t>
            </w:r>
          </w:p>
        </w:tc>
        <w:tc>
          <w:tcPr>
            <w:tcW w:w="5876"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九江路南侧、东环路东侧地块</w:t>
            </w:r>
          </w:p>
        </w:tc>
        <w:tc>
          <w:tcPr>
            <w:tcW w:w="503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如东锦恒城市投资集团有限公司</w:t>
            </w:r>
          </w:p>
        </w:tc>
        <w:tc>
          <w:tcPr>
            <w:tcW w:w="91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11月</w:t>
            </w:r>
          </w:p>
        </w:tc>
      </w:tr>
      <w:tr>
        <w:tblPrEx>
          <w:tblCellMar>
            <w:top w:w="0" w:type="dxa"/>
            <w:left w:w="108" w:type="dxa"/>
            <w:bottom w:w="0" w:type="dxa"/>
            <w:right w:w="108" w:type="dxa"/>
          </w:tblCellMar>
        </w:tblPrEx>
        <w:trPr>
          <w:trHeight w:val="397" w:hRule="atLeast"/>
          <w:jc w:val="center"/>
        </w:trPr>
        <w:tc>
          <w:tcPr>
            <w:tcW w:w="14215" w:type="dxa"/>
            <w:gridSpan w:val="5"/>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sz w:val="24"/>
              </w:rPr>
              <w:t>地下水调查评估类</w:t>
            </w:r>
          </w:p>
        </w:tc>
      </w:tr>
      <w:tr>
        <w:tblPrEx>
          <w:tblCellMar>
            <w:top w:w="0" w:type="dxa"/>
            <w:left w:w="108" w:type="dxa"/>
            <w:bottom w:w="0" w:type="dxa"/>
            <w:right w:w="108" w:type="dxa"/>
          </w:tblCellMar>
        </w:tblPrEx>
        <w:trPr>
          <w:trHeight w:val="397" w:hRule="atLeast"/>
          <w:jc w:val="center"/>
        </w:trPr>
        <w:tc>
          <w:tcPr>
            <w:tcW w:w="58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1808"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如东县</w:t>
            </w:r>
          </w:p>
        </w:tc>
        <w:tc>
          <w:tcPr>
            <w:tcW w:w="5876"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如东县洋口化学工业园地下水环境状况调查评估</w:t>
            </w:r>
          </w:p>
        </w:tc>
        <w:tc>
          <w:tcPr>
            <w:tcW w:w="503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洋口镇人民政府、洋口港经济开发区管委会</w:t>
            </w:r>
          </w:p>
        </w:tc>
        <w:tc>
          <w:tcPr>
            <w:tcW w:w="91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9月</w:t>
            </w:r>
          </w:p>
        </w:tc>
      </w:tr>
      <w:tr>
        <w:tblPrEx>
          <w:tblCellMar>
            <w:top w:w="0" w:type="dxa"/>
            <w:left w:w="108" w:type="dxa"/>
            <w:bottom w:w="0" w:type="dxa"/>
            <w:right w:w="108" w:type="dxa"/>
          </w:tblCellMar>
        </w:tblPrEx>
        <w:trPr>
          <w:trHeight w:val="397" w:hRule="atLeast"/>
          <w:jc w:val="center"/>
        </w:trPr>
        <w:tc>
          <w:tcPr>
            <w:tcW w:w="14215"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b/>
                <w:bCs/>
                <w:sz w:val="24"/>
              </w:rPr>
            </w:pPr>
            <w:r>
              <w:rPr>
                <w:rFonts w:ascii="Times New Roman" w:hAnsi="Times New Roman" w:eastAsia="方正仿宋_GBK"/>
                <w:b/>
                <w:bCs/>
                <w:sz w:val="24"/>
              </w:rPr>
              <w:t>治理修复类</w:t>
            </w:r>
          </w:p>
        </w:tc>
      </w:tr>
      <w:tr>
        <w:tblPrEx>
          <w:tblCellMar>
            <w:top w:w="0" w:type="dxa"/>
            <w:left w:w="108" w:type="dxa"/>
            <w:bottom w:w="0" w:type="dxa"/>
            <w:right w:w="108" w:type="dxa"/>
          </w:tblCellMar>
        </w:tblPrEx>
        <w:trPr>
          <w:trHeight w:val="397"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18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如东县</w:t>
            </w:r>
          </w:p>
        </w:tc>
        <w:tc>
          <w:tcPr>
            <w:tcW w:w="58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原如东县东懋化工有限公司（如东水岸东侧）地块</w:t>
            </w:r>
          </w:p>
        </w:tc>
        <w:tc>
          <w:tcPr>
            <w:tcW w:w="503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县住建局、如东恒鑫置业有限公司</w:t>
            </w:r>
          </w:p>
        </w:tc>
        <w:tc>
          <w:tcPr>
            <w:tcW w:w="9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全年</w:t>
            </w:r>
          </w:p>
        </w:tc>
      </w:tr>
    </w:tbl>
    <w:p>
      <w:pPr>
        <w:pStyle w:val="24"/>
        <w:snapToGrid w:val="0"/>
        <w:spacing w:line="100" w:lineRule="atLeast"/>
        <w:ind w:left="-57" w:right="-57"/>
        <w:jc w:val="both"/>
        <w:rPr>
          <w:rFonts w:ascii="Times New Roman" w:hAnsi="Times New Roman"/>
          <w:b/>
        </w:rPr>
      </w:pPr>
    </w:p>
    <w:p>
      <w:pPr>
        <w:pStyle w:val="2"/>
        <w:rPr>
          <w:rFonts w:ascii="Times New Roman" w:hAnsi="Times New Roman"/>
        </w:rPr>
        <w:sectPr>
          <w:pgSz w:w="16838" w:h="11906" w:orient="landscape"/>
          <w:pgMar w:top="2098" w:right="1531" w:bottom="1758" w:left="1531" w:header="850" w:footer="1474" w:gutter="0"/>
          <w:pgNumType w:fmt="numberInDash"/>
          <w:cols w:space="720" w:num="1"/>
          <w:docGrid w:linePitch="590" w:charSpace="-1024"/>
        </w:sectPr>
      </w:pPr>
    </w:p>
    <w:p>
      <w:pPr>
        <w:widowControl/>
        <w:jc w:val="both"/>
        <w:rPr>
          <w:rFonts w:ascii="Times New Roman" w:hAnsi="Times New Roman"/>
        </w:rPr>
      </w:pPr>
    </w:p>
    <w:sectPr>
      <w:pgSz w:w="11906" w:h="16838"/>
      <w:pgMar w:top="2098" w:right="1531" w:bottom="1758" w:left="1531" w:header="851" w:footer="1474" w:gutter="0"/>
      <w:pgNumType w:fmt="numberInDash"/>
      <w:cols w:space="720" w:num="1"/>
      <w:docGrid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739966"/>
    </w:sdtPr>
    <w:sdtEndPr>
      <w:rPr>
        <w:rFonts w:ascii="Times New Roman" w:hAnsi="Times New Roman"/>
        <w:sz w:val="28"/>
        <w:szCs w:val="28"/>
      </w:rPr>
    </w:sdtEndPr>
    <w:sdtContent>
      <w:p>
        <w:pPr>
          <w:pStyle w:val="8"/>
          <w:jc w:val="right"/>
          <w:rPr>
            <w:rFonts w:ascii="宋体" w:hAnsi="宋体"/>
            <w:sz w:val="28"/>
            <w:szCs w:val="28"/>
          </w:rPr>
        </w:pP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25 -</w:t>
        </w:r>
        <w:r>
          <w:rPr>
            <w:rFonts w:ascii="Times New Roman" w:hAnsi="Times New Roman"/>
            <w:sz w:val="32"/>
            <w:szCs w:val="32"/>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463246791"/>
    </w:sdtPr>
    <w:sdtEndPr>
      <w:rPr>
        <w:rFonts w:ascii="Times New Roman" w:hAnsi="Times New Roman"/>
        <w:sz w:val="28"/>
        <w:szCs w:val="28"/>
      </w:rPr>
    </w:sdtEndPr>
    <w:sdtContent>
      <w:p>
        <w:pPr>
          <w:pStyle w:val="8"/>
          <w:ind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56 -</w:t>
        </w:r>
        <w:r>
          <w:rPr>
            <w:rFonts w:ascii="Times New Roman" w:hAnsi="Times New Roman"/>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97" w:rightChars="94"/>
      <w:jc w:val="right"/>
      <w:rPr>
        <w:sz w:val="28"/>
        <w:szCs w:val="28"/>
      </w:rPr>
    </w:pPr>
    <w:sdt>
      <w:sdtPr>
        <w:id w:val="349739986"/>
      </w:sdtPr>
      <w:sdtEndPr>
        <w:rPr>
          <w:sz w:val="28"/>
          <w:szCs w:val="28"/>
        </w:rPr>
      </w:sdtEndPr>
      <w:sdtContent>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104 -</w:t>
        </w:r>
        <w:r>
          <w:rPr>
            <w:rFonts w:ascii="Times New Roman" w:hAnsi="Times New Roman"/>
            <w:sz w:val="28"/>
            <w:szCs w:val="28"/>
          </w:rPr>
          <w:fldChar w:fldCharType="end"/>
        </w:r>
      </w:sdtContent>
    </w:sdt>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739987"/>
    </w:sdtPr>
    <w:sdtContent>
      <w:p>
        <w:pPr>
          <w:pStyle w:val="8"/>
          <w:ind w:firstLine="140" w:firstLineChars="78"/>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98 -</w:t>
        </w:r>
        <w:r>
          <w:rPr>
            <w:rFonts w:ascii="Times New Roman" w:hAnsi="Times New Roman"/>
            <w:sz w:val="28"/>
            <w:szCs w:val="28"/>
          </w:rPr>
          <w:fldChar w:fldCharType="end"/>
        </w:r>
      </w:p>
    </w:sdtContent>
  </w:sdt>
  <w:p>
    <w:pPr>
      <w:pStyle w:val="8"/>
      <w:ind w:left="-2" w:leftChars="-1"/>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- 112 -</w:t>
    </w:r>
    <w:r>
      <w:rPr>
        <w:rFonts w:ascii="Times New Roman" w:hAnsi="Times New Roman"/>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YzIyZDM1NDRlN2UzN2EyZjIwYTIyZDhiMjI2NDYifQ=="/>
  </w:docVars>
  <w:rsids>
    <w:rsidRoot w:val="4AEF4504"/>
    <w:rsid w:val="0006584C"/>
    <w:rsid w:val="0007396E"/>
    <w:rsid w:val="000F4AA1"/>
    <w:rsid w:val="0013730F"/>
    <w:rsid w:val="00170F64"/>
    <w:rsid w:val="0019278B"/>
    <w:rsid w:val="001E058B"/>
    <w:rsid w:val="001E128A"/>
    <w:rsid w:val="00264EC7"/>
    <w:rsid w:val="00270365"/>
    <w:rsid w:val="002974C9"/>
    <w:rsid w:val="0034400E"/>
    <w:rsid w:val="0040208E"/>
    <w:rsid w:val="00485862"/>
    <w:rsid w:val="004D40C2"/>
    <w:rsid w:val="004F4705"/>
    <w:rsid w:val="004F5020"/>
    <w:rsid w:val="004F6699"/>
    <w:rsid w:val="005148CE"/>
    <w:rsid w:val="005233EC"/>
    <w:rsid w:val="005631B7"/>
    <w:rsid w:val="00582725"/>
    <w:rsid w:val="005C0D18"/>
    <w:rsid w:val="005C5C1D"/>
    <w:rsid w:val="00614397"/>
    <w:rsid w:val="00616BE5"/>
    <w:rsid w:val="006752AD"/>
    <w:rsid w:val="006A2699"/>
    <w:rsid w:val="006B1A90"/>
    <w:rsid w:val="00704935"/>
    <w:rsid w:val="00725019"/>
    <w:rsid w:val="00780D38"/>
    <w:rsid w:val="00803C33"/>
    <w:rsid w:val="00827F73"/>
    <w:rsid w:val="00845B13"/>
    <w:rsid w:val="008B7A42"/>
    <w:rsid w:val="008F75EE"/>
    <w:rsid w:val="00986FB0"/>
    <w:rsid w:val="009D1750"/>
    <w:rsid w:val="009E458A"/>
    <w:rsid w:val="00AF3B88"/>
    <w:rsid w:val="00BD4F7C"/>
    <w:rsid w:val="00BF0913"/>
    <w:rsid w:val="00C045AA"/>
    <w:rsid w:val="00C71CBC"/>
    <w:rsid w:val="00C75E81"/>
    <w:rsid w:val="00C824E1"/>
    <w:rsid w:val="00D10EFC"/>
    <w:rsid w:val="00D332B9"/>
    <w:rsid w:val="00D869C8"/>
    <w:rsid w:val="00DA662F"/>
    <w:rsid w:val="00DB76C8"/>
    <w:rsid w:val="00DF11A6"/>
    <w:rsid w:val="00E54D2D"/>
    <w:rsid w:val="00E61106"/>
    <w:rsid w:val="00E72FD2"/>
    <w:rsid w:val="00ED775A"/>
    <w:rsid w:val="00EF5F8D"/>
    <w:rsid w:val="00F325E0"/>
    <w:rsid w:val="00F368ED"/>
    <w:rsid w:val="00F4468C"/>
    <w:rsid w:val="00FB333B"/>
    <w:rsid w:val="00FD7CD6"/>
    <w:rsid w:val="03DC7BFE"/>
    <w:rsid w:val="04010CAC"/>
    <w:rsid w:val="14FF5CE4"/>
    <w:rsid w:val="159909F1"/>
    <w:rsid w:val="1F73060A"/>
    <w:rsid w:val="235262B1"/>
    <w:rsid w:val="32F63DBD"/>
    <w:rsid w:val="37487AE9"/>
    <w:rsid w:val="37935D26"/>
    <w:rsid w:val="3EDB4033"/>
    <w:rsid w:val="45B93656"/>
    <w:rsid w:val="4AEF4504"/>
    <w:rsid w:val="4FBB7BC8"/>
    <w:rsid w:val="51D746C6"/>
    <w:rsid w:val="57277329"/>
    <w:rsid w:val="580A6FEC"/>
    <w:rsid w:val="68A31098"/>
    <w:rsid w:val="6BE54AFD"/>
    <w:rsid w:val="72700CE2"/>
    <w:rsid w:val="79F96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_GBK" w:asciiTheme="minorHAnsi" w:hAnsiTheme="minorHAnsi"/>
      <w:b/>
      <w:kern w:val="44"/>
      <w:sz w:val="44"/>
    </w:rPr>
  </w:style>
  <w:style w:type="paragraph" w:styleId="3">
    <w:name w:val="heading 2"/>
    <w:basedOn w:val="1"/>
    <w:next w:val="1"/>
    <w:semiHidden/>
    <w:unhideWhenUsed/>
    <w:qFormat/>
    <w:uiPriority w:val="0"/>
    <w:pPr>
      <w:keepNext/>
      <w:keepLines/>
      <w:spacing w:line="560" w:lineRule="exact"/>
      <w:ind w:firstLine="880" w:firstLineChars="200"/>
      <w:outlineLvl w:val="1"/>
    </w:pPr>
    <w:rPr>
      <w:rFonts w:ascii="Arial" w:hAnsi="Arial" w:eastAsia="黑体"/>
      <w:b/>
      <w:sz w:val="32"/>
    </w:rPr>
  </w:style>
  <w:style w:type="paragraph" w:styleId="4">
    <w:name w:val="heading 3"/>
    <w:basedOn w:val="1"/>
    <w:next w:val="1"/>
    <w:semiHidden/>
    <w:unhideWhenUsed/>
    <w:qFormat/>
    <w:uiPriority w:val="0"/>
    <w:pPr>
      <w:keepNext/>
      <w:keepLines/>
      <w:spacing w:line="560" w:lineRule="exact"/>
      <w:ind w:firstLine="880" w:firstLineChars="200"/>
      <w:outlineLvl w:val="2"/>
    </w:pPr>
    <w:rPr>
      <w:rFonts w:ascii="Times New Roman" w:hAnsi="Times New Roman" w:eastAsia="楷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280" w:lineRule="exact"/>
      <w:jc w:val="center"/>
    </w:pPr>
    <w:rPr>
      <w:rFonts w:ascii="Times New Roman" w:hAnsi="Times New Roman"/>
    </w:rPr>
  </w:style>
  <w:style w:type="paragraph" w:styleId="6">
    <w:name w:val="Date"/>
    <w:basedOn w:val="1"/>
    <w:next w:val="1"/>
    <w:link w:val="27"/>
    <w:qFormat/>
    <w:uiPriority w:val="0"/>
    <w:pPr>
      <w:ind w:left="100" w:leftChars="2500"/>
    </w:pPr>
  </w:style>
  <w:style w:type="paragraph" w:styleId="7">
    <w:name w:val="Balloon Text"/>
    <w:basedOn w:val="1"/>
    <w:link w:val="28"/>
    <w:qFormat/>
    <w:uiPriority w:val="0"/>
    <w:rPr>
      <w:sz w:val="18"/>
      <w:szCs w:val="18"/>
    </w:rPr>
  </w:style>
  <w:style w:type="paragraph" w:styleId="8">
    <w:name w:val="footer"/>
    <w:basedOn w:val="1"/>
    <w:link w:val="26"/>
    <w:unhideWhenUsed/>
    <w:qFormat/>
    <w:uiPriority w:val="99"/>
    <w:pPr>
      <w:tabs>
        <w:tab w:val="center" w:pos="4153"/>
        <w:tab w:val="right" w:pos="8306"/>
      </w:tabs>
      <w:snapToGrid w:val="0"/>
      <w:ind w:firstLine="36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qFormat/>
    <w:uiPriority w:val="0"/>
    <w:rPr>
      <w:rFonts w:cs="Times New Roman"/>
    </w:rPr>
  </w:style>
  <w:style w:type="paragraph" w:customStyle="1" w:styleId="16">
    <w:name w:val="密级"/>
    <w:basedOn w:val="1"/>
    <w:qFormat/>
    <w:uiPriority w:val="0"/>
    <w:pPr>
      <w:autoSpaceDE w:val="0"/>
      <w:autoSpaceDN w:val="0"/>
      <w:adjustRightInd w:val="0"/>
      <w:spacing w:line="425" w:lineRule="atLeast"/>
      <w:jc w:val="right"/>
    </w:pPr>
    <w:rPr>
      <w:rFonts w:ascii="黑体" w:eastAsia="黑体"/>
      <w:kern w:val="0"/>
      <w:sz w:val="30"/>
    </w:rPr>
  </w:style>
  <w:style w:type="paragraph" w:customStyle="1" w:styleId="17">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8">
    <w:name w:val="红线"/>
    <w:basedOn w:val="2"/>
    <w:qFormat/>
    <w:uiPriority w:val="0"/>
    <w:pPr>
      <w:keepNext w:val="0"/>
      <w:keepLines w:val="0"/>
      <w:autoSpaceDE w:val="0"/>
      <w:autoSpaceDN w:val="0"/>
      <w:spacing w:after="851" w:line="227" w:lineRule="atLeast"/>
      <w:ind w:right="-142"/>
      <w:outlineLvl w:val="9"/>
    </w:pPr>
    <w:rPr>
      <w:rFonts w:ascii="宋体"/>
      <w:kern w:val="0"/>
      <w:sz w:val="10"/>
    </w:rPr>
  </w:style>
  <w:style w:type="paragraph" w:customStyle="1" w:styleId="19">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20">
    <w:name w:val="标题2"/>
    <w:basedOn w:val="3"/>
    <w:next w:val="1"/>
    <w:qFormat/>
    <w:uiPriority w:val="0"/>
    <w:pPr>
      <w:autoSpaceDE w:val="0"/>
      <w:autoSpaceDN w:val="0"/>
      <w:snapToGrid w:val="0"/>
      <w:spacing w:line="590" w:lineRule="atLeast"/>
      <w:jc w:val="left"/>
    </w:pPr>
    <w:rPr>
      <w:rFonts w:ascii="方正楷体_GBK" w:hAnsi="Times New Roman" w:eastAsia="方正楷体_GBK"/>
      <w:kern w:val="0"/>
      <w:szCs w:val="20"/>
    </w:rPr>
  </w:style>
  <w:style w:type="paragraph" w:customStyle="1" w:styleId="21">
    <w:name w:val="Default"/>
    <w:qFormat/>
    <w:uiPriority w:val="0"/>
    <w:pPr>
      <w:widowControl w:val="0"/>
      <w:autoSpaceDE w:val="0"/>
      <w:autoSpaceDN w:val="0"/>
      <w:adjustRightInd w:val="0"/>
    </w:pPr>
    <w:rPr>
      <w:rFonts w:ascii="方正黑体_GBK" w:hAnsi="方正黑体_GBK" w:eastAsia="方正仿宋_GBK" w:cs="方正黑体_GBK"/>
      <w:color w:val="000000"/>
      <w:sz w:val="24"/>
      <w:szCs w:val="24"/>
      <w:lang w:val="en-US" w:eastAsia="zh-CN" w:bidi="ar-SA"/>
    </w:rPr>
  </w:style>
  <w:style w:type="paragraph" w:customStyle="1" w:styleId="22">
    <w:name w:val="三级标题"/>
    <w:basedOn w:val="1"/>
    <w:qFormat/>
    <w:uiPriority w:val="0"/>
    <w:pPr>
      <w:spacing w:before="50" w:after="50" w:line="360" w:lineRule="auto"/>
      <w:ind w:firstLine="643" w:firstLineChars="200"/>
      <w:outlineLvl w:val="2"/>
    </w:pPr>
    <w:rPr>
      <w:rFonts w:eastAsia="方正仿宋_GBK"/>
      <w:b/>
      <w:sz w:val="32"/>
    </w:rPr>
  </w:style>
  <w:style w:type="character" w:customStyle="1" w:styleId="23">
    <w:name w:val="ref"/>
    <w:qFormat/>
    <w:uiPriority w:val="0"/>
  </w:style>
  <w:style w:type="paragraph" w:customStyle="1" w:styleId="24">
    <w:name w:val="线型"/>
    <w:basedOn w:val="25"/>
    <w:qFormat/>
    <w:uiPriority w:val="0"/>
    <w:pPr>
      <w:spacing w:line="240" w:lineRule="auto"/>
      <w:ind w:left="0" w:firstLine="0"/>
      <w:jc w:val="center"/>
    </w:pPr>
  </w:style>
  <w:style w:type="paragraph" w:customStyle="1" w:styleId="25">
    <w:name w:val="抄送栏"/>
    <w:basedOn w:val="1"/>
    <w:qFormat/>
    <w:uiPriority w:val="0"/>
    <w:pPr>
      <w:adjustRightInd w:val="0"/>
      <w:spacing w:line="454" w:lineRule="atLeast"/>
      <w:ind w:left="1310" w:right="357" w:hanging="953"/>
    </w:pPr>
  </w:style>
  <w:style w:type="character" w:customStyle="1" w:styleId="26">
    <w:name w:val="页脚 Char"/>
    <w:basedOn w:val="13"/>
    <w:link w:val="8"/>
    <w:qFormat/>
    <w:uiPriority w:val="99"/>
    <w:rPr>
      <w:rFonts w:ascii="Calibri" w:hAnsi="Calibri"/>
      <w:kern w:val="2"/>
      <w:sz w:val="18"/>
      <w:szCs w:val="18"/>
    </w:rPr>
  </w:style>
  <w:style w:type="character" w:customStyle="1" w:styleId="27">
    <w:name w:val="日期 Char"/>
    <w:basedOn w:val="13"/>
    <w:link w:val="6"/>
    <w:qFormat/>
    <w:uiPriority w:val="0"/>
    <w:rPr>
      <w:rFonts w:ascii="Calibri" w:hAnsi="Calibri"/>
      <w:kern w:val="2"/>
      <w:sz w:val="21"/>
      <w:szCs w:val="24"/>
    </w:rPr>
  </w:style>
  <w:style w:type="character" w:customStyle="1" w:styleId="28">
    <w:name w:val="批注框文本 Char"/>
    <w:basedOn w:val="13"/>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3CE48-5BDA-4796-B8FB-7F10E7DB797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37630</Words>
  <Characters>42177</Characters>
  <Lines>0</Lines>
  <Paragraphs>0</Paragraphs>
  <TotalTime>14</TotalTime>
  <ScaleCrop>false</ScaleCrop>
  <LinksUpToDate>false</LinksUpToDate>
  <CharactersWithSpaces>42234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E小调</cp:lastModifiedBy>
  <dcterms:modified xsi:type="dcterms:W3CDTF">2022-06-24T01:26:54Z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490BFDAB17DB4EF2964BC547BACF4728</vt:lpwstr>
  </property>
</Properties>
</file>