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center"/>
        <w:rPr>
          <w:rFonts w:hint="default" w:ascii="Times New Roman" w:hAnsi="Times New Roman" w:eastAsia="方正小标宋_GBK" w:cs="Times New Roman"/>
          <w:sz w:val="44"/>
          <w:szCs w:val="44"/>
        </w:rPr>
      </w:pPr>
    </w:p>
    <w:p>
      <w:pPr>
        <w:keepNext w:val="0"/>
        <w:keepLines w:val="0"/>
        <w:pageBreakBefore w:val="0"/>
        <w:widowControl w:val="0"/>
        <w:suppressLineNumbers w:val="0"/>
        <w:kinsoku/>
        <w:wordWrap/>
        <w:overflowPunct/>
        <w:topLinePunct w:val="0"/>
        <w:bidi w:val="0"/>
        <w:adjustRightInd/>
        <w:spacing w:before="0" w:beforeAutospacing="0" w:after="0" w:afterAutospacing="0" w:line="540" w:lineRule="exact"/>
        <w:ind w:left="1598" w:leftChars="304" w:right="0" w:hanging="960" w:hangingChars="300"/>
        <w:jc w:val="both"/>
        <w:textAlignment w:val="auto"/>
        <w:rPr>
          <w:rFonts w:hint="default"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lang w:val="en-US" w:eastAsia="zh-CN"/>
        </w:rPr>
        <w:t xml:space="preserve">          </w:t>
      </w:r>
    </w:p>
    <w:p>
      <w:pPr>
        <w:rPr>
          <w:rFonts w:hint="default" w:ascii="Times New Roman" w:hAnsi="Times New Roman" w:eastAsia="黑体" w:cs="Times New Roman"/>
          <w:b/>
          <w:kern w:val="2"/>
          <w:sz w:val="32"/>
          <w:szCs w:val="32"/>
          <w:lang w:val="en-US" w:eastAsia="zh-CN"/>
        </w:rPr>
        <w:sectPr>
          <w:footerReference r:id="rId3" w:type="default"/>
          <w:pgSz w:w="11906" w:h="16838" w:orient="landscape"/>
          <w:pgMar w:top="2098" w:right="1531" w:bottom="1757" w:left="1531" w:header="851" w:footer="992" w:gutter="0"/>
          <w:pgNumType w:fmt="decimal"/>
          <w:cols w:space="720" w:num="1"/>
          <w:docGrid w:type="lines" w:linePitch="312" w:charSpace="0"/>
        </w:sectPr>
      </w:pPr>
    </w:p>
    <w:p>
      <w:pPr>
        <w:keepNext w:val="0"/>
        <w:keepLines w:val="0"/>
        <w:widowControl w:val="0"/>
        <w:suppressLineNumbers w:val="0"/>
        <w:spacing w:before="0" w:beforeAutospacing="0" w:after="0" w:afterAutospacing="0"/>
        <w:ind w:right="0"/>
        <w:jc w:val="both"/>
        <w:rPr>
          <w:rFonts w:hint="eastAsia" w:ascii="黑体" w:hAnsi="黑体" w:eastAsia="黑体" w:cs="黑体"/>
          <w:bCs/>
          <w:kern w:val="2"/>
          <w:sz w:val="32"/>
          <w:szCs w:val="32"/>
          <w:lang w:val="en-US" w:eastAsia="zh-CN" w:bidi="ar"/>
        </w:rPr>
      </w:pPr>
      <w:r>
        <w:rPr>
          <w:rFonts w:hint="eastAsia" w:ascii="黑体" w:hAnsi="黑体" w:eastAsia="黑体" w:cs="黑体"/>
          <w:bCs/>
          <w:kern w:val="2"/>
          <w:sz w:val="32"/>
          <w:szCs w:val="32"/>
          <w:lang w:val="en-US" w:eastAsia="zh-CN" w:bidi="ar"/>
        </w:rPr>
        <w:t>附件</w:t>
      </w:r>
    </w:p>
    <w:p>
      <w:pPr>
        <w:keepNext w:val="0"/>
        <w:keepLines w:val="0"/>
        <w:widowControl w:val="0"/>
        <w:suppressLineNumbers w:val="0"/>
        <w:spacing w:before="0" w:beforeAutospacing="0" w:after="0" w:afterAutospacing="0"/>
        <w:ind w:left="0" w:right="0" w:firstLine="800" w:firstLineChars="200"/>
        <w:jc w:val="center"/>
        <w:rPr>
          <w:rFonts w:hint="default" w:ascii="Times New Roman" w:hAnsi="Times New Roman" w:eastAsia="方正小标宋_GBK" w:cs="Times New Roman"/>
          <w:bCs/>
          <w:kern w:val="2"/>
          <w:sz w:val="40"/>
          <w:szCs w:val="40"/>
        </w:rPr>
      </w:pPr>
      <w:r>
        <w:rPr>
          <w:rFonts w:hint="default" w:ascii="Times New Roman" w:hAnsi="Times New Roman" w:eastAsia="方正小标宋_GBK" w:cs="Times New Roman"/>
          <w:bCs/>
          <w:kern w:val="2"/>
          <w:sz w:val="40"/>
          <w:szCs w:val="40"/>
          <w:lang w:val="en-US" w:eastAsia="zh-CN" w:bidi="ar"/>
        </w:rPr>
        <w:t>2023年度省政府</w:t>
      </w:r>
      <w:r>
        <w:rPr>
          <w:rFonts w:hint="eastAsia" w:ascii="Times New Roman" w:hAnsi="Times New Roman" w:eastAsia="方正小标宋_GBK" w:cs="Times New Roman"/>
          <w:bCs/>
          <w:kern w:val="2"/>
          <w:sz w:val="40"/>
          <w:szCs w:val="40"/>
          <w:lang w:val="en-US" w:eastAsia="zh-CN" w:bidi="ar"/>
        </w:rPr>
        <w:t>办公厅</w:t>
      </w:r>
      <w:r>
        <w:rPr>
          <w:rFonts w:hint="default" w:ascii="Times New Roman" w:hAnsi="Times New Roman" w:eastAsia="方正小标宋_GBK" w:cs="Times New Roman"/>
          <w:bCs/>
          <w:kern w:val="2"/>
          <w:sz w:val="40"/>
          <w:szCs w:val="40"/>
          <w:lang w:val="en-US" w:eastAsia="zh-CN" w:bidi="ar"/>
        </w:rPr>
        <w:t>挂牌督办重点生态环境项目整改序时进度表</w:t>
      </w:r>
    </w:p>
    <w:tbl>
      <w:tblPr>
        <w:tblStyle w:val="6"/>
        <w:tblW w:w="146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9"/>
        <w:gridCol w:w="1654"/>
        <w:gridCol w:w="2302"/>
        <w:gridCol w:w="2689"/>
        <w:gridCol w:w="2161"/>
        <w:gridCol w:w="1812"/>
        <w:gridCol w:w="1923"/>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bCs/>
                <w:kern w:val="2"/>
                <w:sz w:val="28"/>
                <w:szCs w:val="28"/>
              </w:rPr>
            </w:pPr>
            <w:r>
              <w:rPr>
                <w:rFonts w:hint="default" w:ascii="Times New Roman" w:hAnsi="Times New Roman" w:eastAsia="黑体" w:cs="Times New Roman"/>
                <w:bCs/>
                <w:kern w:val="2"/>
                <w:sz w:val="28"/>
                <w:szCs w:val="28"/>
                <w:lang w:val="en-US" w:eastAsia="zh-CN" w:bidi="ar"/>
              </w:rPr>
              <w:t>序号</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bCs/>
                <w:kern w:val="2"/>
                <w:sz w:val="28"/>
                <w:szCs w:val="28"/>
              </w:rPr>
            </w:pPr>
            <w:r>
              <w:rPr>
                <w:rFonts w:hint="default" w:ascii="Times New Roman" w:hAnsi="Times New Roman" w:eastAsia="黑体" w:cs="Times New Roman"/>
                <w:bCs/>
                <w:kern w:val="2"/>
                <w:sz w:val="28"/>
                <w:szCs w:val="28"/>
                <w:lang w:val="en-US" w:eastAsia="zh-CN" w:bidi="ar"/>
              </w:rPr>
              <w:t>整改内容</w:t>
            </w:r>
          </w:p>
        </w:tc>
        <w:tc>
          <w:tcPr>
            <w:tcW w:w="896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bCs/>
                <w:kern w:val="2"/>
                <w:sz w:val="28"/>
                <w:szCs w:val="28"/>
              </w:rPr>
            </w:pPr>
            <w:r>
              <w:rPr>
                <w:rFonts w:hint="default" w:ascii="Times New Roman" w:hAnsi="Times New Roman" w:eastAsia="黑体" w:cs="Times New Roman"/>
                <w:bCs/>
                <w:kern w:val="2"/>
                <w:sz w:val="28"/>
                <w:szCs w:val="28"/>
                <w:lang w:val="en-US" w:eastAsia="zh-CN" w:bidi="ar"/>
              </w:rPr>
              <w:t>序时进度</w:t>
            </w:r>
          </w:p>
        </w:tc>
        <w:tc>
          <w:tcPr>
            <w:tcW w:w="19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bCs/>
                <w:kern w:val="2"/>
                <w:sz w:val="28"/>
                <w:szCs w:val="28"/>
              </w:rPr>
            </w:pPr>
            <w:r>
              <w:rPr>
                <w:rFonts w:hint="default" w:ascii="Times New Roman" w:hAnsi="Times New Roman" w:eastAsia="黑体" w:cs="Times New Roman"/>
                <w:bCs/>
                <w:kern w:val="2"/>
                <w:sz w:val="28"/>
                <w:szCs w:val="28"/>
                <w:lang w:val="en-US" w:eastAsia="zh-CN" w:bidi="ar"/>
              </w:rPr>
              <w:t>牵头部门</w:t>
            </w:r>
          </w:p>
        </w:tc>
        <w:tc>
          <w:tcPr>
            <w:tcW w:w="13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bCs/>
                <w:kern w:val="2"/>
                <w:sz w:val="28"/>
                <w:szCs w:val="28"/>
              </w:rPr>
            </w:pPr>
            <w:r>
              <w:rPr>
                <w:rFonts w:hint="default" w:ascii="Times New Roman" w:hAnsi="Times New Roman" w:eastAsia="黑体" w:cs="Times New Roman"/>
                <w:bCs/>
                <w:kern w:val="2"/>
                <w:sz w:val="28"/>
                <w:szCs w:val="28"/>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一季度</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二季度</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三季度</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四季度</w:t>
            </w:r>
          </w:p>
        </w:tc>
        <w:tc>
          <w:tcPr>
            <w:tcW w:w="19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4" w:hRule="atLeast"/>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1</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农田耕作方式调整（直播稻改机插秧）</w:t>
            </w:r>
          </w:p>
        </w:tc>
        <w:tc>
          <w:tcPr>
            <w:tcW w:w="2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开展直播种植意向调查，并通过各种媒体渠道进行宣传引导直播稻改机插秧。</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开展集中育秧培训指导，将直播稻控减在5%以内。2023年计划控减至9400亩（栟茶1400亩，袁庄2400亩，河口2500亩，洋口3100亩）。</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树建机插稻好的典型，组织观摩学习</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both"/>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开展直播稻与机插稻典型户产量产值效益调查，并进行总结。</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县农业农村局</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color w:val="FF0000"/>
                <w:kern w:val="2"/>
                <w:sz w:val="28"/>
                <w:szCs w:val="28"/>
              </w:rPr>
            </w:pPr>
            <w:r>
              <w:rPr>
                <w:rFonts w:hint="default" w:ascii="Times New Roman" w:hAnsi="Times New Roman" w:eastAsia="方正仿宋_GBK" w:cs="Times New Roman"/>
                <w:kern w:val="2"/>
                <w:sz w:val="28"/>
                <w:szCs w:val="28"/>
                <w:lang w:val="en-US" w:eastAsia="zh-CN" w:bidi="ar"/>
              </w:rPr>
              <w:t>县水务局</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南通市如东生态环境局</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袁庄镇</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河口镇</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栟茶镇</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洋口镇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8" w:hRule="atLeast"/>
        </w:trPr>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2</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秸秆离田利用</w:t>
            </w:r>
          </w:p>
        </w:tc>
        <w:tc>
          <w:tcPr>
            <w:tcW w:w="23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起草2023年秸秆综合利用实施意见，开展秸秆综合利用场所安全检查；申报2023年度中央农作物秸秆综合利用重点县建设项目</w:t>
            </w:r>
          </w:p>
        </w:tc>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出台《2023年秸秆综合利用实施意见》、《如东县2023年秸秆机械化还田暨犁耕深翻还田工作实施办法》；建设秸秆机械化还田、离田县级智能监测系统；组织开展夏季秸秆机械化还田、离田工作。</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组织专家对秸秆综合利用项目进行验收；对夏季秸秆还田、离田工作情况进行检查。</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组织开展秋季秸秆机械化深耕还田、离田工作。</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县农业农村局</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南通市如东生态环境局</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袁庄镇</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河口镇</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栟茶镇</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洋口镇</w:t>
            </w:r>
          </w:p>
        </w:tc>
      </w:tr>
    </w:tbl>
    <w:p>
      <w:pPr>
        <w:rPr>
          <w:rFonts w:hint="default" w:ascii="Times New Roman" w:hAnsi="Times New Roman" w:eastAsia="黑体" w:cs="Times New Roman"/>
          <w:kern w:val="2"/>
          <w:sz w:val="21"/>
          <w:szCs w:val="21"/>
        </w:rPr>
        <w:sectPr>
          <w:pgSz w:w="16838" w:h="11906" w:orient="landscape"/>
          <w:pgMar w:top="1803" w:right="1440" w:bottom="1803" w:left="1440" w:header="851" w:footer="992" w:gutter="0"/>
          <w:pgNumType w:fmt="decimal"/>
          <w:cols w:space="720" w:num="1"/>
          <w:docGrid w:type="lines" w:linePitch="319" w:charSpace="0"/>
        </w:sectPr>
      </w:pPr>
    </w:p>
    <w:p>
      <w:pPr>
        <w:keepNext w:val="0"/>
        <w:keepLines w:val="0"/>
        <w:widowControl w:val="0"/>
        <w:suppressLineNumbers w:val="0"/>
        <w:spacing w:before="0" w:beforeAutospacing="0" w:after="0" w:afterAutospacing="0"/>
        <w:ind w:left="0" w:right="0" w:firstLine="800" w:firstLineChars="200"/>
        <w:jc w:val="center"/>
        <w:rPr>
          <w:rFonts w:hint="default" w:ascii="Times New Roman" w:hAnsi="Times New Roman" w:eastAsia="方正小标宋_GBK" w:cs="Times New Roman"/>
          <w:bCs/>
          <w:kern w:val="2"/>
          <w:sz w:val="40"/>
          <w:szCs w:val="40"/>
        </w:rPr>
      </w:pPr>
      <w:r>
        <w:rPr>
          <w:rFonts w:hint="default" w:ascii="Times New Roman" w:hAnsi="Times New Roman" w:eastAsia="方正小标宋_GBK" w:cs="Times New Roman"/>
          <w:bCs/>
          <w:kern w:val="2"/>
          <w:sz w:val="40"/>
          <w:szCs w:val="40"/>
          <w:lang w:val="en-US" w:eastAsia="zh-CN" w:bidi="ar"/>
        </w:rPr>
        <w:t>2023年度省政府</w:t>
      </w:r>
      <w:r>
        <w:rPr>
          <w:rFonts w:hint="eastAsia" w:ascii="Times New Roman" w:hAnsi="Times New Roman" w:eastAsia="方正小标宋_GBK" w:cs="Times New Roman"/>
          <w:bCs/>
          <w:kern w:val="2"/>
          <w:sz w:val="40"/>
          <w:szCs w:val="40"/>
          <w:lang w:val="en-US" w:eastAsia="zh-CN" w:bidi="ar"/>
        </w:rPr>
        <w:t>办公厅</w:t>
      </w:r>
      <w:r>
        <w:rPr>
          <w:rFonts w:hint="default" w:ascii="Times New Roman" w:hAnsi="Times New Roman" w:eastAsia="方正小标宋_GBK" w:cs="Times New Roman"/>
          <w:bCs/>
          <w:kern w:val="2"/>
          <w:sz w:val="40"/>
          <w:szCs w:val="40"/>
          <w:lang w:val="en-US" w:eastAsia="zh-CN" w:bidi="ar"/>
        </w:rPr>
        <w:t>挂牌督办重点生态环境项目整改序时进度表</w:t>
      </w:r>
    </w:p>
    <w:tbl>
      <w:tblPr>
        <w:tblStyle w:val="6"/>
        <w:tblW w:w="142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9"/>
        <w:gridCol w:w="1607"/>
        <w:gridCol w:w="2237"/>
        <w:gridCol w:w="2613"/>
        <w:gridCol w:w="2099"/>
        <w:gridCol w:w="1691"/>
        <w:gridCol w:w="1972"/>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 w:hRule="atLeast"/>
        </w:trPr>
        <w:tc>
          <w:tcPr>
            <w:tcW w:w="6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bCs/>
                <w:kern w:val="2"/>
                <w:sz w:val="28"/>
                <w:szCs w:val="28"/>
              </w:rPr>
            </w:pPr>
            <w:r>
              <w:rPr>
                <w:rFonts w:hint="default" w:ascii="Times New Roman" w:hAnsi="Times New Roman" w:eastAsia="黑体" w:cs="Times New Roman"/>
                <w:bCs/>
                <w:kern w:val="2"/>
                <w:sz w:val="28"/>
                <w:szCs w:val="28"/>
                <w:lang w:val="en-US" w:eastAsia="zh-CN" w:bidi="ar"/>
              </w:rPr>
              <w:t>序号</w:t>
            </w:r>
          </w:p>
        </w:tc>
        <w:tc>
          <w:tcPr>
            <w:tcW w:w="16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bCs/>
                <w:kern w:val="2"/>
                <w:sz w:val="28"/>
                <w:szCs w:val="28"/>
              </w:rPr>
            </w:pPr>
            <w:r>
              <w:rPr>
                <w:rFonts w:hint="default" w:ascii="Times New Roman" w:hAnsi="Times New Roman" w:eastAsia="黑体" w:cs="Times New Roman"/>
                <w:bCs/>
                <w:kern w:val="2"/>
                <w:sz w:val="28"/>
                <w:szCs w:val="28"/>
                <w:lang w:val="en-US" w:eastAsia="zh-CN" w:bidi="ar"/>
              </w:rPr>
              <w:t>整改内容</w:t>
            </w:r>
          </w:p>
        </w:tc>
        <w:tc>
          <w:tcPr>
            <w:tcW w:w="86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bCs/>
                <w:kern w:val="2"/>
                <w:sz w:val="28"/>
                <w:szCs w:val="28"/>
              </w:rPr>
            </w:pPr>
            <w:r>
              <w:rPr>
                <w:rFonts w:hint="default" w:ascii="Times New Roman" w:hAnsi="Times New Roman" w:eastAsia="黑体" w:cs="Times New Roman"/>
                <w:bCs/>
                <w:kern w:val="2"/>
                <w:sz w:val="28"/>
                <w:szCs w:val="28"/>
                <w:lang w:val="en-US" w:eastAsia="zh-CN" w:bidi="ar"/>
              </w:rPr>
              <w:t>序时进度</w:t>
            </w:r>
          </w:p>
        </w:tc>
        <w:tc>
          <w:tcPr>
            <w:tcW w:w="19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bCs/>
                <w:kern w:val="2"/>
                <w:sz w:val="28"/>
                <w:szCs w:val="28"/>
              </w:rPr>
            </w:pPr>
            <w:r>
              <w:rPr>
                <w:rFonts w:hint="default" w:ascii="Times New Roman" w:hAnsi="Times New Roman" w:eastAsia="黑体" w:cs="Times New Roman"/>
                <w:bCs/>
                <w:kern w:val="2"/>
                <w:sz w:val="28"/>
                <w:szCs w:val="28"/>
                <w:lang w:val="en-US" w:eastAsia="zh-CN" w:bidi="ar"/>
              </w:rPr>
              <w:t>牵头部门</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bCs/>
                <w:kern w:val="2"/>
                <w:sz w:val="28"/>
                <w:szCs w:val="28"/>
              </w:rPr>
            </w:pPr>
            <w:r>
              <w:rPr>
                <w:rFonts w:hint="default" w:ascii="Times New Roman" w:hAnsi="Times New Roman" w:eastAsia="黑体" w:cs="Times New Roman"/>
                <w:bCs/>
                <w:kern w:val="2"/>
                <w:sz w:val="28"/>
                <w:szCs w:val="28"/>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1" w:hRule="atLeast"/>
        </w:trPr>
        <w:tc>
          <w:tcPr>
            <w:tcW w:w="6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一季度</w:t>
            </w:r>
          </w:p>
        </w:tc>
        <w:tc>
          <w:tcPr>
            <w:tcW w:w="2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二季度</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三季度</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四季度</w:t>
            </w:r>
          </w:p>
        </w:tc>
        <w:tc>
          <w:tcPr>
            <w:tcW w:w="1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7" w:hRule="atLeast"/>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3</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畜禽粪污资源化利用</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印发《2023年如东县畜禽粪污整治与资源化利用巩固提升行动实施方案》，开展畜禽养殖污染与资源化利用问题排查，建立整治提升清单，明确整改措施、时限、责任人。</w:t>
            </w:r>
          </w:p>
        </w:tc>
        <w:tc>
          <w:tcPr>
            <w:tcW w:w="2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推动规模场户进一步升级改造，向养殖主体发放告知书，养殖主体向政府提交污染防治与资源化利用承诺书；每镇至少建立一个粪污清运社会化服务组织，并保持正常运行。完成整治提升养殖场任务47家，其中袁庄7家、河口17家、栟茶12家、洋口11家。</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对各镇区排查问题整改落实情况、养殖场户粪污资源化利用情况进行巡查督查，促进资源化利用工作深入开展。完成整治提升养殖场任务44家，其中袁庄6家、河口17家、栟茶11家、洋口10家。</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所有排查出的污染与资源化利用问题按要求整改到位，畜禽粪污资源化利用整治提升清单中所有养殖场户全部通过治理认定完成整治提升。</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color w:val="FF0000"/>
                <w:kern w:val="2"/>
                <w:sz w:val="28"/>
                <w:szCs w:val="28"/>
              </w:rPr>
            </w:pPr>
            <w:r>
              <w:rPr>
                <w:rFonts w:hint="default" w:ascii="Times New Roman" w:hAnsi="Times New Roman" w:eastAsia="方正仿宋_GBK" w:cs="Times New Roman"/>
                <w:kern w:val="2"/>
                <w:sz w:val="28"/>
                <w:szCs w:val="28"/>
                <w:lang w:val="en-US" w:eastAsia="zh-CN" w:bidi="ar"/>
              </w:rPr>
              <w:t>县农业农村局</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南通市如东生态环境局</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袁庄镇</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河口镇</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栟茶镇</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洋口镇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4" w:hRule="atLeast"/>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1"/>
                <w:szCs w:val="21"/>
                <w:lang w:val="en-US" w:eastAsia="zh-CN" w:bidi="ar"/>
              </w:rPr>
              <w:t>4</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高标准农田建设和排灌系统生态化改造</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完成项目初步设计、年度计划编制上报，下达项目计划，项目招标代理、监理、检测、施工招标（含排灌系统生态化改造）。</w:t>
            </w:r>
          </w:p>
        </w:tc>
        <w:tc>
          <w:tcPr>
            <w:tcW w:w="26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lang w:val="en-US"/>
              </w:rPr>
            </w:pPr>
            <w:r>
              <w:rPr>
                <w:rFonts w:hint="default" w:ascii="Times New Roman" w:hAnsi="Times New Roman" w:eastAsia="方正仿宋_GBK" w:cs="Times New Roman"/>
                <w:kern w:val="2"/>
                <w:sz w:val="28"/>
                <w:szCs w:val="28"/>
                <w:lang w:val="en-US" w:eastAsia="zh-CN" w:bidi="ar"/>
              </w:rPr>
              <w:t>进场施工，完成排灌设施施工。</w:t>
            </w:r>
            <w:r>
              <w:rPr>
                <w:rFonts w:hint="eastAsia" w:ascii="Times New Roman" w:hAnsi="Times New Roman" w:eastAsia="方正仿宋_GBK" w:cs="Times New Roman"/>
                <w:kern w:val="2"/>
                <w:sz w:val="28"/>
                <w:szCs w:val="28"/>
                <w:lang w:val="en-US" w:eastAsia="zh-CN" w:bidi="ar"/>
              </w:rPr>
              <w:t xml:space="preserve">    </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进行机耕桥、机耕路、涵洞、土地平整等施工。</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完成项目工程建设内容（含排灌系统生态化改造）。</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县农业农村局</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县水务局</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南通市如东生态环境局</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袁庄镇</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河口镇</w:t>
            </w:r>
          </w:p>
          <w:p>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栟茶镇</w:t>
            </w:r>
          </w:p>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洋口镇</w:t>
            </w:r>
          </w:p>
        </w:tc>
      </w:tr>
    </w:tbl>
    <w:p>
      <w:pPr>
        <w:keepNext w:val="0"/>
        <w:keepLines w:val="0"/>
        <w:widowControl/>
        <w:suppressLineNumbers w:val="0"/>
        <w:spacing w:before="0" w:beforeAutospacing="0" w:after="0" w:afterAutospacing="0" w:line="14" w:lineRule="exact"/>
        <w:ind w:left="0" w:right="0"/>
        <w:jc w:val="both"/>
        <w:rPr>
          <w:rFonts w:hint="default" w:ascii="Times New Roman" w:hAnsi="Times New Roman" w:eastAsia="等线" w:cs="Times New Roman"/>
          <w:kern w:val="2"/>
          <w:sz w:val="21"/>
          <w:szCs w:val="21"/>
          <w:lang w:val="en-US" w:eastAsia="zh-CN" w:bidi="ar"/>
        </w:rPr>
        <w:sectPr>
          <w:pgSz w:w="16838" w:h="11906" w:orient="landscape"/>
          <w:pgMar w:top="1803" w:right="1440" w:bottom="1803" w:left="1440" w:header="851" w:footer="992" w:gutter="0"/>
          <w:pgNumType w:fmt="decimal"/>
          <w:cols w:space="720" w:num="1"/>
          <w:docGrid w:type="lines" w:linePitch="319" w:charSpace="0"/>
        </w:sectPr>
      </w:pPr>
      <w:r>
        <w:rPr>
          <w:rFonts w:hint="default" w:ascii="Times New Roman" w:hAnsi="Times New Roman" w:eastAsia="等线" w:cs="Times New Roman"/>
          <w:kern w:val="2"/>
          <w:sz w:val="21"/>
          <w:szCs w:val="21"/>
          <w:lang w:val="en-US" w:eastAsia="zh-CN" w:bidi="ar"/>
        </w:rPr>
        <w:t xml:space="preserve"> </w:t>
      </w: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pStyle w:val="13"/>
        <w:snapToGrid w:val="0"/>
        <w:spacing w:line="100" w:lineRule="atLeast"/>
        <w:ind w:left="-57" w:right="-57"/>
        <w:rPr>
          <w:b/>
        </w:rPr>
      </w:pPr>
    </w:p>
    <w:p>
      <w:pPr>
        <w:keepNext w:val="0"/>
        <w:keepLines w:val="0"/>
        <w:widowControl/>
        <w:suppressLineNumbers w:val="0"/>
        <w:spacing w:before="0" w:beforeAutospacing="0" w:after="0" w:afterAutospacing="0" w:line="14" w:lineRule="exact"/>
        <w:ind w:left="0" w:right="0"/>
        <w:jc w:val="both"/>
        <w:rPr>
          <w:rFonts w:hint="default" w:ascii="Times New Roman" w:hAnsi="Times New Roman" w:eastAsia="等线" w:cs="Times New Roman"/>
          <w:kern w:val="2"/>
          <w:sz w:val="21"/>
          <w:szCs w:val="21"/>
          <w:lang w:val="en-US" w:eastAsia="zh-CN" w:bidi="ar"/>
        </w:rPr>
      </w:pPr>
      <w:bookmarkStart w:id="0" w:name="_GoBack"/>
      <w:bookmarkEnd w:id="0"/>
    </w:p>
    <w:sectPr>
      <w:footerReference r:id="rId4" w:type="default"/>
      <w:footerReference r:id="rId5" w:type="even"/>
      <w:pgSz w:w="11906" w:h="16838"/>
      <w:pgMar w:top="1814" w:right="1531" w:bottom="1985" w:left="1531" w:header="720" w:footer="1474" w:gutter="0"/>
      <w:paperSrc w:first="15" w:other="15"/>
      <w:pgNumType w:fmt="decimal" w:start="8"/>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M2MzZGNmZTE2MDQyZGQzNzIzNWZjODZmNmYxM2EifQ=="/>
  </w:docVars>
  <w:rsids>
    <w:rsidRoot w:val="00005340"/>
    <w:rsid w:val="00005340"/>
    <w:rsid w:val="001100C7"/>
    <w:rsid w:val="00160726"/>
    <w:rsid w:val="001D56EB"/>
    <w:rsid w:val="00946A2E"/>
    <w:rsid w:val="009D0B2B"/>
    <w:rsid w:val="0C672F6F"/>
    <w:rsid w:val="15B326F6"/>
    <w:rsid w:val="1BC15E91"/>
    <w:rsid w:val="1F58270D"/>
    <w:rsid w:val="20BF1C9E"/>
    <w:rsid w:val="367C4057"/>
    <w:rsid w:val="38D461C8"/>
    <w:rsid w:val="3E7252EE"/>
    <w:rsid w:val="419F0130"/>
    <w:rsid w:val="495D6327"/>
    <w:rsid w:val="4BCC0FA3"/>
    <w:rsid w:val="50AA6DCA"/>
    <w:rsid w:val="6E9671BB"/>
    <w:rsid w:val="6FFD392C"/>
    <w:rsid w:val="71161018"/>
    <w:rsid w:val="FEFFB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密级"/>
    <w:basedOn w:val="1"/>
    <w:qFormat/>
    <w:uiPriority w:val="0"/>
    <w:pPr>
      <w:autoSpaceDE w:val="0"/>
      <w:autoSpaceDN w:val="0"/>
      <w:adjustRightInd w:val="0"/>
      <w:snapToGrid/>
      <w:spacing w:line="425" w:lineRule="atLeast"/>
      <w:ind w:firstLine="0"/>
      <w:jc w:val="right"/>
    </w:pPr>
    <w:rPr>
      <w:rFonts w:ascii="黑体" w:eastAsia="黑体"/>
      <w:spacing w:val="0"/>
      <w:kern w:val="0"/>
      <w:sz w:val="30"/>
    </w:rPr>
  </w:style>
  <w:style w:type="paragraph" w:customStyle="1" w:styleId="11">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12">
    <w:name w:val="红线"/>
    <w:basedOn w:val="2"/>
    <w:qFormat/>
    <w:uiPriority w:val="0"/>
    <w:pPr>
      <w:keepNext w:val="0"/>
      <w:keepLines w:val="0"/>
      <w:autoSpaceDE w:val="0"/>
      <w:autoSpaceDN w:val="0"/>
      <w:adjustRightInd w:val="0"/>
      <w:snapToGrid/>
      <w:spacing w:before="0" w:after="851" w:line="227" w:lineRule="atLeast"/>
      <w:ind w:right="-142" w:firstLine="0"/>
      <w:jc w:val="center"/>
      <w:outlineLvl w:val="9"/>
    </w:pPr>
    <w:rPr>
      <w:rFonts w:ascii="宋体" w:eastAsia="宋体"/>
      <w:spacing w:val="0"/>
      <w:kern w:val="0"/>
      <w:sz w:val="10"/>
    </w:rPr>
  </w:style>
  <w:style w:type="paragraph" w:customStyle="1" w:styleId="13">
    <w:name w:val="线型"/>
    <w:basedOn w:val="14"/>
    <w:qFormat/>
    <w:uiPriority w:val="0"/>
    <w:pPr>
      <w:spacing w:line="240" w:lineRule="auto"/>
      <w:ind w:left="0" w:firstLine="0"/>
      <w:jc w:val="center"/>
    </w:pPr>
    <w:rPr>
      <w:sz w:val="21"/>
    </w:rPr>
  </w:style>
  <w:style w:type="paragraph" w:customStyle="1" w:styleId="14">
    <w:name w:val="抄送栏"/>
    <w:basedOn w:val="1"/>
    <w:qFormat/>
    <w:uiPriority w:val="0"/>
    <w:pPr>
      <w:adjustRightInd w:val="0"/>
      <w:snapToGrid/>
      <w:spacing w:line="454" w:lineRule="atLeast"/>
      <w:ind w:left="1310" w:right="357" w:hanging="953"/>
    </w:pPr>
  </w:style>
  <w:style w:type="paragraph" w:customStyle="1" w:styleId="15">
    <w:name w:val="印发栏"/>
    <w:basedOn w:val="3"/>
    <w:qFormat/>
    <w:uiPriority w:val="0"/>
    <w:pPr>
      <w:tabs>
        <w:tab w:val="right" w:pos="8465"/>
      </w:tabs>
      <w:spacing w:line="454" w:lineRule="atLeast"/>
      <w:ind w:left="357" w:right="357"/>
    </w:pPr>
    <w:rPr>
      <w:spacing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3612</Words>
  <Characters>3768</Characters>
  <Lines>1</Lines>
  <Paragraphs>1</Paragraphs>
  <TotalTime>5</TotalTime>
  <ScaleCrop>false</ScaleCrop>
  <LinksUpToDate>false</LinksUpToDate>
  <CharactersWithSpaces>3901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2023-05-19T02:04:00Z</dcterms:created>
  <dc:creator>China</dc:creator>
  <cp:lastModifiedBy>归去凤池夸</cp:lastModifiedBy>
  <cp:lastPrinted>2023-05-19T16:49:00Z</cp:lastPrinted>
  <dcterms:modified xsi:type="dcterms:W3CDTF">2023-05-30T09:45:15Z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2C49BD92BF374704B106D4737A688F69_13</vt:lpwstr>
  </property>
</Properties>
</file>